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C7FF4" w14:textId="3E10CF88" w:rsidR="004331C8" w:rsidRDefault="004C3D5A" w:rsidP="004331C8">
      <w:pPr>
        <w:pStyle w:val="Heading1"/>
        <w:contextualSpacing/>
        <w:rPr>
          <w:lang w:val="en-US"/>
        </w:rPr>
      </w:pPr>
      <w:bookmarkStart w:id="0" w:name="_Toc20304759"/>
      <w:r>
        <w:rPr>
          <w:noProof/>
          <w:lang w:eastAsia="en-GB"/>
        </w:rPr>
        <w:drawing>
          <wp:anchor distT="0" distB="0" distL="114300" distR="114300" simplePos="0" relativeHeight="251659264" behindDoc="0" locked="0" layoutInCell="1" allowOverlap="1" wp14:anchorId="25F6615C" wp14:editId="7801CECD">
            <wp:simplePos x="0" y="0"/>
            <wp:positionH relativeFrom="margin">
              <wp:posOffset>0</wp:posOffset>
            </wp:positionH>
            <wp:positionV relativeFrom="margin">
              <wp:posOffset>504825</wp:posOffset>
            </wp:positionV>
            <wp:extent cx="1219200" cy="3003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T_EduDatalab_Logo_No_SL_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300355"/>
                    </a:xfrm>
                    <a:prstGeom prst="rect">
                      <a:avLst/>
                    </a:prstGeom>
                  </pic:spPr>
                </pic:pic>
              </a:graphicData>
            </a:graphic>
          </wp:anchor>
        </w:drawing>
      </w:r>
      <w:bookmarkEnd w:id="0"/>
    </w:p>
    <w:p w14:paraId="0BD89348" w14:textId="77777777" w:rsidR="004331C8" w:rsidRDefault="004331C8" w:rsidP="004331C8">
      <w:pPr>
        <w:pStyle w:val="Heading1"/>
        <w:contextualSpacing/>
        <w:rPr>
          <w:lang w:val="en-US"/>
        </w:rPr>
      </w:pPr>
    </w:p>
    <w:p w14:paraId="213B9D91" w14:textId="77777777" w:rsidR="004331C8" w:rsidRDefault="004331C8" w:rsidP="004331C8">
      <w:pPr>
        <w:pStyle w:val="Heading1"/>
        <w:contextualSpacing/>
        <w:rPr>
          <w:lang w:val="en-US"/>
        </w:rPr>
      </w:pPr>
    </w:p>
    <w:p w14:paraId="526050AA" w14:textId="77777777" w:rsidR="004331C8" w:rsidRDefault="004331C8" w:rsidP="004331C8">
      <w:pPr>
        <w:pStyle w:val="Heading1"/>
        <w:contextualSpacing/>
        <w:rPr>
          <w:lang w:val="en-US"/>
        </w:rPr>
      </w:pPr>
    </w:p>
    <w:p w14:paraId="3B5D6360" w14:textId="21D86B55" w:rsidR="004331C8" w:rsidRPr="005A3EFE" w:rsidRDefault="007A6A2A" w:rsidP="004331C8">
      <w:pPr>
        <w:pStyle w:val="Heading1"/>
        <w:contextualSpacing/>
        <w:rPr>
          <w:rFonts w:ascii="Calibri" w:hAnsi="Calibri" w:cs="Calibri"/>
          <w:b/>
          <w:sz w:val="28"/>
          <w:szCs w:val="28"/>
          <w:lang w:val="en-US"/>
        </w:rPr>
      </w:pPr>
      <w:bookmarkStart w:id="1" w:name="_Toc20304755"/>
      <w:r w:rsidRPr="005A3EFE">
        <w:rPr>
          <w:rFonts w:ascii="Calibri" w:hAnsi="Calibri" w:cs="Calibri"/>
          <w:b/>
          <w:sz w:val="28"/>
          <w:szCs w:val="28"/>
          <w:lang w:val="en-US"/>
        </w:rPr>
        <w:t>Analysis of entries and attainment in GCSE geography</w:t>
      </w:r>
      <w:bookmarkEnd w:id="1"/>
    </w:p>
    <w:p w14:paraId="165C7ED0" w14:textId="77777777" w:rsidR="007A6A2A" w:rsidRPr="005A3EFE" w:rsidRDefault="007A6A2A" w:rsidP="007A6A2A">
      <w:pPr>
        <w:rPr>
          <w:b/>
          <w:sz w:val="28"/>
          <w:szCs w:val="28"/>
          <w:lang w:val="en-US"/>
        </w:rPr>
      </w:pPr>
    </w:p>
    <w:p w14:paraId="43DB97F6" w14:textId="40483B00" w:rsidR="00A35D04" w:rsidRPr="005A3EFE" w:rsidRDefault="007A6A2A" w:rsidP="004331C8">
      <w:pPr>
        <w:pStyle w:val="Heading1"/>
        <w:contextualSpacing/>
        <w:rPr>
          <w:rFonts w:ascii="Calibri" w:hAnsi="Calibri" w:cs="Calibri"/>
          <w:b/>
          <w:sz w:val="28"/>
          <w:szCs w:val="28"/>
          <w:lang w:val="en-US"/>
        </w:rPr>
      </w:pPr>
      <w:bookmarkStart w:id="2" w:name="_Toc20304756"/>
      <w:r w:rsidRPr="005A3EFE">
        <w:rPr>
          <w:rFonts w:ascii="Calibri" w:hAnsi="Calibri" w:cs="Calibri"/>
          <w:b/>
          <w:sz w:val="28"/>
          <w:szCs w:val="28"/>
          <w:lang w:val="en-US"/>
        </w:rPr>
        <w:t xml:space="preserve">Report </w:t>
      </w:r>
      <w:r w:rsidR="0037044D" w:rsidRPr="005A3EFE">
        <w:rPr>
          <w:rFonts w:ascii="Calibri" w:hAnsi="Calibri" w:cs="Calibri"/>
          <w:b/>
          <w:sz w:val="28"/>
          <w:szCs w:val="28"/>
          <w:lang w:val="en-US"/>
        </w:rPr>
        <w:t xml:space="preserve">for </w:t>
      </w:r>
      <w:r w:rsidRPr="005A3EFE">
        <w:rPr>
          <w:rFonts w:ascii="Calibri" w:hAnsi="Calibri" w:cs="Calibri"/>
          <w:b/>
          <w:sz w:val="28"/>
          <w:szCs w:val="28"/>
          <w:lang w:val="en-US"/>
        </w:rPr>
        <w:t>the Royal Geographical Society</w:t>
      </w:r>
      <w:bookmarkEnd w:id="2"/>
      <w:r w:rsidR="005A3EFE">
        <w:rPr>
          <w:rFonts w:ascii="Calibri" w:hAnsi="Calibri" w:cs="Calibri"/>
          <w:b/>
          <w:sz w:val="28"/>
          <w:szCs w:val="28"/>
          <w:lang w:val="en-US"/>
        </w:rPr>
        <w:t xml:space="preserve"> (with IBG)</w:t>
      </w:r>
    </w:p>
    <w:p w14:paraId="377EDC21" w14:textId="0F4F2C20" w:rsidR="00072460" w:rsidRPr="005A3EFE" w:rsidRDefault="00072460" w:rsidP="00481529">
      <w:pPr>
        <w:spacing w:after="160" w:line="259" w:lineRule="auto"/>
        <w:contextualSpacing/>
        <w:rPr>
          <w:b/>
          <w:bCs/>
          <w:sz w:val="28"/>
          <w:szCs w:val="28"/>
        </w:rPr>
      </w:pPr>
    </w:p>
    <w:p w14:paraId="54D39BEC" w14:textId="77777777" w:rsidR="004C3D5A" w:rsidRPr="00EA6B18" w:rsidRDefault="004C3D5A" w:rsidP="00481529">
      <w:pPr>
        <w:spacing w:after="160" w:line="259" w:lineRule="auto"/>
        <w:contextualSpacing/>
        <w:rPr>
          <w:b/>
          <w:bCs/>
          <w:sz w:val="24"/>
          <w:szCs w:val="24"/>
        </w:rPr>
      </w:pPr>
    </w:p>
    <w:p w14:paraId="4264DE24" w14:textId="30815659" w:rsidR="00072460" w:rsidRPr="00EA6B18" w:rsidRDefault="003B78CE" w:rsidP="00CC2619">
      <w:pPr>
        <w:pStyle w:val="Heading2"/>
        <w:jc w:val="right"/>
        <w:rPr>
          <w:rFonts w:ascii="Calibri" w:hAnsi="Calibri" w:cs="Calibri"/>
          <w:sz w:val="20"/>
          <w:szCs w:val="20"/>
        </w:rPr>
      </w:pPr>
      <w:bookmarkStart w:id="3" w:name="_Toc20304757"/>
      <w:r w:rsidRPr="00EA6B18">
        <w:rPr>
          <w:rFonts w:ascii="Calibri" w:hAnsi="Calibri" w:cs="Calibri"/>
          <w:sz w:val="20"/>
          <w:szCs w:val="20"/>
        </w:rPr>
        <w:t>Philip Nye</w:t>
      </w:r>
      <w:bookmarkEnd w:id="3"/>
    </w:p>
    <w:p w14:paraId="67795001" w14:textId="6CDA736A" w:rsidR="00072460" w:rsidRPr="00EA6B18" w:rsidRDefault="003B78CE" w:rsidP="00CC2619">
      <w:pPr>
        <w:pStyle w:val="Heading2"/>
        <w:jc w:val="right"/>
        <w:rPr>
          <w:rFonts w:ascii="Calibri" w:hAnsi="Calibri" w:cs="Calibri"/>
          <w:sz w:val="20"/>
          <w:szCs w:val="20"/>
        </w:rPr>
      </w:pPr>
      <w:bookmarkStart w:id="4" w:name="_Toc20304758"/>
      <w:r w:rsidRPr="00EA6B18">
        <w:rPr>
          <w:rFonts w:ascii="Calibri" w:hAnsi="Calibri" w:cs="Calibri"/>
          <w:sz w:val="20"/>
          <w:szCs w:val="20"/>
        </w:rPr>
        <w:t>Dave Thomson</w:t>
      </w:r>
      <w:bookmarkEnd w:id="4"/>
    </w:p>
    <w:p w14:paraId="041744F8" w14:textId="1A22A496" w:rsidR="00072460" w:rsidRPr="00EA6B18" w:rsidRDefault="00072460" w:rsidP="00CC2619">
      <w:pPr>
        <w:pStyle w:val="Heading2"/>
        <w:jc w:val="right"/>
        <w:rPr>
          <w:rFonts w:ascii="Calibri" w:hAnsi="Calibri" w:cs="Calibri"/>
          <w:sz w:val="20"/>
          <w:szCs w:val="20"/>
        </w:rPr>
      </w:pPr>
    </w:p>
    <w:p w14:paraId="66EEC824" w14:textId="7D59354D" w:rsidR="00072460" w:rsidRPr="00EA6B18" w:rsidRDefault="00072460" w:rsidP="00CC2619">
      <w:pPr>
        <w:pStyle w:val="Heading2"/>
        <w:jc w:val="right"/>
        <w:rPr>
          <w:rFonts w:ascii="Calibri" w:hAnsi="Calibri" w:cs="Calibri"/>
          <w:sz w:val="20"/>
          <w:szCs w:val="20"/>
        </w:rPr>
      </w:pPr>
      <w:bookmarkStart w:id="5" w:name="_Toc20304760"/>
      <w:r w:rsidRPr="00EA6B18">
        <w:rPr>
          <w:rFonts w:ascii="Calibri" w:hAnsi="Calibri" w:cs="Calibri"/>
          <w:sz w:val="20"/>
          <w:szCs w:val="20"/>
        </w:rPr>
        <w:t>October 201</w:t>
      </w:r>
      <w:r w:rsidR="00B02933" w:rsidRPr="00EA6B18">
        <w:rPr>
          <w:rFonts w:ascii="Calibri" w:hAnsi="Calibri" w:cs="Calibri"/>
          <w:sz w:val="20"/>
          <w:szCs w:val="20"/>
        </w:rPr>
        <w:t>9</w:t>
      </w:r>
      <w:bookmarkEnd w:id="5"/>
    </w:p>
    <w:p w14:paraId="38D496F6" w14:textId="77777777" w:rsidR="004C3D5A" w:rsidRPr="00EA6B18" w:rsidRDefault="006D15DA" w:rsidP="004C3D5A">
      <w:pPr>
        <w:pStyle w:val="TOCHeading"/>
        <w:rPr>
          <w:rFonts w:ascii="Calibri" w:hAnsi="Calibri" w:cs="Calibri"/>
          <w:sz w:val="20"/>
          <w:szCs w:val="20"/>
        </w:rPr>
      </w:pPr>
      <w:r w:rsidRPr="00EA6B18">
        <w:rPr>
          <w:rFonts w:ascii="Calibri" w:hAnsi="Calibri" w:cs="Calibri"/>
          <w:sz w:val="20"/>
          <w:szCs w:val="20"/>
        </w:rPr>
        <w:br w:type="page"/>
      </w:r>
    </w:p>
    <w:sdt>
      <w:sdtPr>
        <w:rPr>
          <w:rFonts w:ascii="Calibri" w:eastAsiaTheme="minorHAnsi" w:hAnsi="Calibri" w:cs="Calibri"/>
          <w:color w:val="auto"/>
          <w:sz w:val="20"/>
          <w:szCs w:val="20"/>
          <w:lang w:val="en-GB"/>
        </w:rPr>
        <w:id w:val="-1836906215"/>
        <w:docPartObj>
          <w:docPartGallery w:val="Table of Contents"/>
          <w:docPartUnique/>
        </w:docPartObj>
      </w:sdtPr>
      <w:sdtEndPr>
        <w:rPr>
          <w:b/>
          <w:bCs/>
          <w:noProof/>
        </w:rPr>
      </w:sdtEndPr>
      <w:sdtContent>
        <w:p w14:paraId="364171BA" w14:textId="43373AB9" w:rsidR="00774ED7" w:rsidRPr="00EA6B18" w:rsidRDefault="00774ED7" w:rsidP="004C3D5A">
          <w:pPr>
            <w:pStyle w:val="TOCHeading"/>
            <w:rPr>
              <w:rFonts w:ascii="Calibri" w:hAnsi="Calibri" w:cs="Calibri"/>
              <w:sz w:val="20"/>
              <w:szCs w:val="20"/>
            </w:rPr>
          </w:pPr>
          <w:r w:rsidRPr="00EA6B18">
            <w:rPr>
              <w:rFonts w:ascii="Calibri" w:hAnsi="Calibri" w:cs="Calibri"/>
              <w:sz w:val="20"/>
              <w:szCs w:val="20"/>
            </w:rPr>
            <w:t>Contents</w:t>
          </w:r>
        </w:p>
        <w:p w14:paraId="62D44F49" w14:textId="59388232" w:rsidR="00774ED7" w:rsidRPr="00EA6B18" w:rsidRDefault="00774ED7" w:rsidP="00774ED7">
          <w:pPr>
            <w:pStyle w:val="TOC1"/>
            <w:tabs>
              <w:tab w:val="right" w:leader="dot" w:pos="9016"/>
            </w:tabs>
            <w:rPr>
              <w:noProof/>
              <w:sz w:val="20"/>
              <w:szCs w:val="20"/>
            </w:rPr>
          </w:pPr>
          <w:r w:rsidRPr="00EA6B18">
            <w:rPr>
              <w:sz w:val="20"/>
              <w:szCs w:val="20"/>
            </w:rPr>
            <w:fldChar w:fldCharType="begin"/>
          </w:r>
          <w:r w:rsidRPr="00EA6B18">
            <w:rPr>
              <w:sz w:val="20"/>
              <w:szCs w:val="20"/>
            </w:rPr>
            <w:instrText xml:space="preserve"> TOC \o "1-3" \h \z \u </w:instrText>
          </w:r>
          <w:r w:rsidRPr="00EA6B18">
            <w:rPr>
              <w:sz w:val="20"/>
              <w:szCs w:val="20"/>
            </w:rPr>
            <w:fldChar w:fldCharType="separate"/>
          </w:r>
        </w:p>
        <w:p w14:paraId="05F28801" w14:textId="47962457" w:rsidR="00774ED7" w:rsidRPr="00EA6B18" w:rsidRDefault="007E1150">
          <w:pPr>
            <w:pStyle w:val="TOC2"/>
            <w:tabs>
              <w:tab w:val="right" w:leader="dot" w:pos="9016"/>
            </w:tabs>
            <w:rPr>
              <w:noProof/>
              <w:sz w:val="20"/>
              <w:szCs w:val="20"/>
            </w:rPr>
          </w:pPr>
          <w:hyperlink w:anchor="_Toc20304762" w:history="1">
            <w:r w:rsidR="00774ED7" w:rsidRPr="00EA6B18">
              <w:rPr>
                <w:rStyle w:val="Hyperlink"/>
                <w:noProof/>
                <w:sz w:val="20"/>
                <w:szCs w:val="20"/>
              </w:rPr>
              <w:t>1. Introduction</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_Toc20304762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2</w:t>
            </w:r>
            <w:r w:rsidR="00774ED7" w:rsidRPr="00EA6B18">
              <w:rPr>
                <w:noProof/>
                <w:webHidden/>
                <w:sz w:val="20"/>
                <w:szCs w:val="20"/>
              </w:rPr>
              <w:fldChar w:fldCharType="end"/>
            </w:r>
          </w:hyperlink>
        </w:p>
        <w:p w14:paraId="445831BB" w14:textId="687ECCFE" w:rsidR="00774ED7" w:rsidRPr="00EA6B18" w:rsidRDefault="007E1150">
          <w:pPr>
            <w:pStyle w:val="TOC3"/>
            <w:tabs>
              <w:tab w:val="right" w:leader="dot" w:pos="9016"/>
            </w:tabs>
            <w:rPr>
              <w:noProof/>
              <w:sz w:val="20"/>
              <w:szCs w:val="20"/>
            </w:rPr>
          </w:pPr>
          <w:hyperlink w:anchor="_Toc20304763" w:history="1">
            <w:r w:rsidR="00774ED7" w:rsidRPr="00EA6B18">
              <w:rPr>
                <w:rStyle w:val="Hyperlink"/>
                <w:noProof/>
                <w:sz w:val="20"/>
                <w:szCs w:val="20"/>
              </w:rPr>
              <w:t>Acknowledgments</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_Toc20304763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2</w:t>
            </w:r>
            <w:r w:rsidR="00774ED7" w:rsidRPr="00EA6B18">
              <w:rPr>
                <w:noProof/>
                <w:webHidden/>
                <w:sz w:val="20"/>
                <w:szCs w:val="20"/>
              </w:rPr>
              <w:fldChar w:fldCharType="end"/>
            </w:r>
          </w:hyperlink>
        </w:p>
        <w:p w14:paraId="0678A296" w14:textId="2C3D96C3" w:rsidR="00774ED7" w:rsidRPr="00EA6B18" w:rsidRDefault="007E1150">
          <w:pPr>
            <w:pStyle w:val="TOC2"/>
            <w:tabs>
              <w:tab w:val="right" w:leader="dot" w:pos="9016"/>
            </w:tabs>
            <w:rPr>
              <w:noProof/>
              <w:sz w:val="20"/>
              <w:szCs w:val="20"/>
            </w:rPr>
          </w:pPr>
          <w:hyperlink w:anchor="_Toc20304764" w:history="1">
            <w:r w:rsidR="00774ED7" w:rsidRPr="00EA6B18">
              <w:rPr>
                <w:rStyle w:val="Hyperlink"/>
                <w:noProof/>
                <w:sz w:val="20"/>
                <w:szCs w:val="20"/>
              </w:rPr>
              <w:t>2. Summary</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_Toc20304764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2</w:t>
            </w:r>
            <w:r w:rsidR="00774ED7" w:rsidRPr="00EA6B18">
              <w:rPr>
                <w:noProof/>
                <w:webHidden/>
                <w:sz w:val="20"/>
                <w:szCs w:val="20"/>
              </w:rPr>
              <w:fldChar w:fldCharType="end"/>
            </w:r>
          </w:hyperlink>
        </w:p>
        <w:p w14:paraId="5D020B30" w14:textId="6EDBFFD6" w:rsidR="00774ED7" w:rsidRPr="00EA6B18" w:rsidRDefault="007E1150">
          <w:pPr>
            <w:pStyle w:val="TOC2"/>
            <w:tabs>
              <w:tab w:val="right" w:leader="dot" w:pos="9016"/>
            </w:tabs>
            <w:rPr>
              <w:noProof/>
              <w:sz w:val="20"/>
              <w:szCs w:val="20"/>
            </w:rPr>
          </w:pPr>
          <w:hyperlink w:anchor="_Toc20304765" w:history="1">
            <w:r w:rsidR="00774ED7" w:rsidRPr="00EA6B18">
              <w:rPr>
                <w:rStyle w:val="Hyperlink"/>
                <w:noProof/>
                <w:sz w:val="20"/>
                <w:szCs w:val="20"/>
              </w:rPr>
              <w:t>3. Pupil characteristics</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_Toc20304765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2</w:t>
            </w:r>
            <w:r w:rsidR="00774ED7" w:rsidRPr="00EA6B18">
              <w:rPr>
                <w:noProof/>
                <w:webHidden/>
                <w:sz w:val="20"/>
                <w:szCs w:val="20"/>
              </w:rPr>
              <w:fldChar w:fldCharType="end"/>
            </w:r>
          </w:hyperlink>
        </w:p>
        <w:p w14:paraId="32742135" w14:textId="529207BB" w:rsidR="00774ED7" w:rsidRPr="00EA6B18" w:rsidRDefault="007E1150">
          <w:pPr>
            <w:pStyle w:val="TOC3"/>
            <w:tabs>
              <w:tab w:val="right" w:leader="dot" w:pos="9016"/>
            </w:tabs>
            <w:rPr>
              <w:noProof/>
              <w:sz w:val="20"/>
              <w:szCs w:val="20"/>
            </w:rPr>
          </w:pPr>
          <w:hyperlink w:anchor="_Toc20304766" w:history="1">
            <w:r w:rsidR="00774ED7" w:rsidRPr="00EA6B18">
              <w:rPr>
                <w:rStyle w:val="Hyperlink"/>
                <w:rFonts w:eastAsia="Times New Roman"/>
                <w:noProof/>
                <w:sz w:val="20"/>
                <w:szCs w:val="20"/>
              </w:rPr>
              <w:t>3.1 Gender</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_Toc20304766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2</w:t>
            </w:r>
            <w:r w:rsidR="00774ED7" w:rsidRPr="00EA6B18">
              <w:rPr>
                <w:noProof/>
                <w:webHidden/>
                <w:sz w:val="20"/>
                <w:szCs w:val="20"/>
              </w:rPr>
              <w:fldChar w:fldCharType="end"/>
            </w:r>
          </w:hyperlink>
        </w:p>
        <w:p w14:paraId="2C2AAFE5" w14:textId="569BABB0" w:rsidR="00774ED7" w:rsidRPr="00EA6B18" w:rsidRDefault="007E1150">
          <w:pPr>
            <w:pStyle w:val="TOC3"/>
            <w:tabs>
              <w:tab w:val="right" w:leader="dot" w:pos="9016"/>
            </w:tabs>
            <w:rPr>
              <w:noProof/>
              <w:sz w:val="20"/>
              <w:szCs w:val="20"/>
            </w:rPr>
          </w:pPr>
          <w:hyperlink w:anchor="_Toc20304767" w:history="1">
            <w:r w:rsidR="00774ED7" w:rsidRPr="00EA6B18">
              <w:rPr>
                <w:rStyle w:val="Hyperlink"/>
                <w:rFonts w:eastAsia="Times New Roman"/>
                <w:noProof/>
                <w:sz w:val="20"/>
                <w:szCs w:val="20"/>
              </w:rPr>
              <w:t>3.2 Disadvantage</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_Toc20304767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3</w:t>
            </w:r>
            <w:r w:rsidR="00774ED7" w:rsidRPr="00EA6B18">
              <w:rPr>
                <w:noProof/>
                <w:webHidden/>
                <w:sz w:val="20"/>
                <w:szCs w:val="20"/>
              </w:rPr>
              <w:fldChar w:fldCharType="end"/>
            </w:r>
          </w:hyperlink>
        </w:p>
        <w:p w14:paraId="7CAA9C29" w14:textId="6B850689" w:rsidR="00774ED7" w:rsidRPr="00EA6B18" w:rsidRDefault="007E1150">
          <w:pPr>
            <w:pStyle w:val="TOC3"/>
            <w:tabs>
              <w:tab w:val="right" w:leader="dot" w:pos="9016"/>
            </w:tabs>
            <w:rPr>
              <w:noProof/>
              <w:sz w:val="20"/>
              <w:szCs w:val="20"/>
            </w:rPr>
          </w:pPr>
          <w:hyperlink w:anchor="_Toc20304768" w:history="1">
            <w:r w:rsidR="00774ED7" w:rsidRPr="00EA6B18">
              <w:rPr>
                <w:rStyle w:val="Hyperlink"/>
                <w:rFonts w:eastAsia="Times New Roman"/>
                <w:noProof/>
                <w:sz w:val="20"/>
                <w:szCs w:val="20"/>
              </w:rPr>
              <w:t>3.3 Ethnicity</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_Toc20304768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3</w:t>
            </w:r>
            <w:r w:rsidR="00774ED7" w:rsidRPr="00EA6B18">
              <w:rPr>
                <w:noProof/>
                <w:webHidden/>
                <w:sz w:val="20"/>
                <w:szCs w:val="20"/>
              </w:rPr>
              <w:fldChar w:fldCharType="end"/>
            </w:r>
          </w:hyperlink>
        </w:p>
        <w:p w14:paraId="3835C509" w14:textId="0E93DA97" w:rsidR="00774ED7" w:rsidRPr="00EA6B18" w:rsidRDefault="007E1150">
          <w:pPr>
            <w:pStyle w:val="TOC3"/>
            <w:tabs>
              <w:tab w:val="right" w:leader="dot" w:pos="9016"/>
            </w:tabs>
            <w:rPr>
              <w:noProof/>
              <w:sz w:val="20"/>
              <w:szCs w:val="20"/>
            </w:rPr>
          </w:pPr>
          <w:hyperlink w:anchor="_Toc20304769" w:history="1">
            <w:r w:rsidR="00774ED7" w:rsidRPr="00EA6B18">
              <w:rPr>
                <w:rStyle w:val="Hyperlink"/>
                <w:rFonts w:eastAsia="Times New Roman"/>
                <w:noProof/>
                <w:sz w:val="20"/>
                <w:szCs w:val="20"/>
              </w:rPr>
              <w:t>3.4 Prior attainment</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_Toc20304769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3</w:t>
            </w:r>
            <w:r w:rsidR="00774ED7" w:rsidRPr="00EA6B18">
              <w:rPr>
                <w:noProof/>
                <w:webHidden/>
                <w:sz w:val="20"/>
                <w:szCs w:val="20"/>
              </w:rPr>
              <w:fldChar w:fldCharType="end"/>
            </w:r>
          </w:hyperlink>
        </w:p>
        <w:p w14:paraId="01D4B2BB" w14:textId="18DE4ED7" w:rsidR="00774ED7" w:rsidRPr="00EA6B18" w:rsidRDefault="007E1150">
          <w:pPr>
            <w:pStyle w:val="TOC2"/>
            <w:tabs>
              <w:tab w:val="right" w:leader="dot" w:pos="9016"/>
            </w:tabs>
            <w:rPr>
              <w:noProof/>
              <w:sz w:val="20"/>
              <w:szCs w:val="20"/>
            </w:rPr>
          </w:pPr>
          <w:hyperlink w:anchor="_Toc20304770" w:history="1">
            <w:r w:rsidR="00774ED7" w:rsidRPr="00EA6B18">
              <w:rPr>
                <w:rStyle w:val="Hyperlink"/>
                <w:noProof/>
                <w:sz w:val="20"/>
                <w:szCs w:val="20"/>
              </w:rPr>
              <w:t>4. School characteristics</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_Toc20304770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4</w:t>
            </w:r>
            <w:r w:rsidR="00774ED7" w:rsidRPr="00EA6B18">
              <w:rPr>
                <w:noProof/>
                <w:webHidden/>
                <w:sz w:val="20"/>
                <w:szCs w:val="20"/>
              </w:rPr>
              <w:fldChar w:fldCharType="end"/>
            </w:r>
          </w:hyperlink>
        </w:p>
        <w:p w14:paraId="57D955D9" w14:textId="3EA2E611" w:rsidR="00774ED7" w:rsidRPr="00EA6B18" w:rsidRDefault="007E1150">
          <w:pPr>
            <w:pStyle w:val="TOC3"/>
            <w:tabs>
              <w:tab w:val="right" w:leader="dot" w:pos="9016"/>
            </w:tabs>
            <w:rPr>
              <w:noProof/>
              <w:sz w:val="20"/>
              <w:szCs w:val="20"/>
            </w:rPr>
          </w:pPr>
          <w:hyperlink w:anchor="_Toc20304771" w:history="1">
            <w:r w:rsidR="00774ED7" w:rsidRPr="00EA6B18">
              <w:rPr>
                <w:rStyle w:val="Hyperlink"/>
                <w:rFonts w:eastAsia="Times New Roman"/>
                <w:noProof/>
                <w:sz w:val="20"/>
                <w:szCs w:val="20"/>
              </w:rPr>
              <w:t>4.1 Region</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_Toc20304771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4</w:t>
            </w:r>
            <w:r w:rsidR="00774ED7" w:rsidRPr="00EA6B18">
              <w:rPr>
                <w:noProof/>
                <w:webHidden/>
                <w:sz w:val="20"/>
                <w:szCs w:val="20"/>
              </w:rPr>
              <w:fldChar w:fldCharType="end"/>
            </w:r>
          </w:hyperlink>
        </w:p>
        <w:p w14:paraId="47BF3C3A" w14:textId="77645592" w:rsidR="00774ED7" w:rsidRPr="00EA6B18" w:rsidRDefault="007E1150">
          <w:pPr>
            <w:pStyle w:val="TOC3"/>
            <w:tabs>
              <w:tab w:val="right" w:leader="dot" w:pos="9016"/>
            </w:tabs>
            <w:rPr>
              <w:noProof/>
              <w:sz w:val="20"/>
              <w:szCs w:val="20"/>
            </w:rPr>
          </w:pPr>
          <w:hyperlink w:anchor="_Toc20304772" w:history="1">
            <w:r w:rsidR="00774ED7" w:rsidRPr="00EA6B18">
              <w:rPr>
                <w:rStyle w:val="Hyperlink"/>
                <w:rFonts w:eastAsia="Times New Roman"/>
                <w:noProof/>
                <w:sz w:val="20"/>
                <w:szCs w:val="20"/>
              </w:rPr>
              <w:t>4.2 Area type, Coastal, Opportunity area</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_Toc20304772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4</w:t>
            </w:r>
            <w:r w:rsidR="00774ED7" w:rsidRPr="00EA6B18">
              <w:rPr>
                <w:noProof/>
                <w:webHidden/>
                <w:sz w:val="20"/>
                <w:szCs w:val="20"/>
              </w:rPr>
              <w:fldChar w:fldCharType="end"/>
            </w:r>
          </w:hyperlink>
        </w:p>
        <w:p w14:paraId="0E76581D" w14:textId="475A3F40" w:rsidR="00774ED7" w:rsidRPr="00EA6B18" w:rsidRDefault="007E1150">
          <w:pPr>
            <w:pStyle w:val="TOC3"/>
            <w:tabs>
              <w:tab w:val="right" w:leader="dot" w:pos="9016"/>
            </w:tabs>
            <w:rPr>
              <w:noProof/>
              <w:sz w:val="20"/>
              <w:szCs w:val="20"/>
            </w:rPr>
          </w:pPr>
          <w:hyperlink w:anchor="_Toc20304773" w:history="1">
            <w:r w:rsidR="00774ED7" w:rsidRPr="00EA6B18">
              <w:rPr>
                <w:rStyle w:val="Hyperlink"/>
                <w:rFonts w:eastAsia="Times New Roman"/>
                <w:noProof/>
                <w:sz w:val="20"/>
                <w:szCs w:val="20"/>
              </w:rPr>
              <w:t>4.3 School free school meals quintile</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_Toc20304773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4</w:t>
            </w:r>
            <w:r w:rsidR="00774ED7" w:rsidRPr="00EA6B18">
              <w:rPr>
                <w:noProof/>
                <w:webHidden/>
                <w:sz w:val="20"/>
                <w:szCs w:val="20"/>
              </w:rPr>
              <w:fldChar w:fldCharType="end"/>
            </w:r>
          </w:hyperlink>
        </w:p>
        <w:p w14:paraId="6D1EF83F" w14:textId="511FFF4E" w:rsidR="00774ED7" w:rsidRPr="00EA6B18" w:rsidRDefault="007E1150">
          <w:pPr>
            <w:pStyle w:val="TOC3"/>
            <w:tabs>
              <w:tab w:val="right" w:leader="dot" w:pos="9016"/>
            </w:tabs>
            <w:rPr>
              <w:noProof/>
              <w:sz w:val="20"/>
              <w:szCs w:val="20"/>
            </w:rPr>
          </w:pPr>
          <w:hyperlink w:anchor="_Toc20304774" w:history="1">
            <w:r w:rsidR="00774ED7" w:rsidRPr="00EA6B18">
              <w:rPr>
                <w:rStyle w:val="Hyperlink"/>
                <w:rFonts w:eastAsia="Times New Roman"/>
                <w:noProof/>
                <w:sz w:val="20"/>
                <w:szCs w:val="20"/>
              </w:rPr>
              <w:t>4.4 Admissions policy, Governance</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_Toc20304774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5</w:t>
            </w:r>
            <w:r w:rsidR="00774ED7" w:rsidRPr="00EA6B18">
              <w:rPr>
                <w:noProof/>
                <w:webHidden/>
                <w:sz w:val="20"/>
                <w:szCs w:val="20"/>
              </w:rPr>
              <w:fldChar w:fldCharType="end"/>
            </w:r>
          </w:hyperlink>
        </w:p>
        <w:p w14:paraId="58266D11" w14:textId="4CA08D3C" w:rsidR="00774ED7" w:rsidRPr="00EA6B18" w:rsidRDefault="007E1150">
          <w:pPr>
            <w:pStyle w:val="TOC3"/>
            <w:tabs>
              <w:tab w:val="right" w:leader="dot" w:pos="9016"/>
            </w:tabs>
            <w:rPr>
              <w:noProof/>
              <w:sz w:val="20"/>
              <w:szCs w:val="20"/>
            </w:rPr>
          </w:pPr>
          <w:hyperlink w:anchor="_Toc20304775" w:history="1">
            <w:r w:rsidR="00774ED7" w:rsidRPr="00EA6B18">
              <w:rPr>
                <w:rStyle w:val="Hyperlink"/>
                <w:rFonts w:eastAsia="Times New Roman"/>
                <w:noProof/>
                <w:sz w:val="20"/>
                <w:szCs w:val="20"/>
              </w:rPr>
              <w:t>4.5 Inspection rating</w:t>
            </w:r>
            <w:r w:rsidR="00774ED7" w:rsidRPr="00EA6B18">
              <w:rPr>
                <w:noProof/>
                <w:webHidden/>
                <w:sz w:val="20"/>
                <w:szCs w:val="20"/>
              </w:rPr>
              <w:tab/>
            </w:r>
            <w:r w:rsidR="00774ED7" w:rsidRPr="00EA6B18">
              <w:rPr>
                <w:noProof/>
                <w:webHidden/>
                <w:sz w:val="20"/>
                <w:szCs w:val="20"/>
              </w:rPr>
              <w:fldChar w:fldCharType="begin"/>
            </w:r>
            <w:r w:rsidR="00774ED7" w:rsidRPr="00EA6B18">
              <w:rPr>
                <w:noProof/>
                <w:webHidden/>
                <w:sz w:val="20"/>
                <w:szCs w:val="20"/>
              </w:rPr>
              <w:instrText xml:space="preserve"> PAGEREF _Toc20304775 \h </w:instrText>
            </w:r>
            <w:r w:rsidR="00774ED7" w:rsidRPr="00EA6B18">
              <w:rPr>
                <w:noProof/>
                <w:webHidden/>
                <w:sz w:val="20"/>
                <w:szCs w:val="20"/>
              </w:rPr>
            </w:r>
            <w:r w:rsidR="00774ED7" w:rsidRPr="00EA6B18">
              <w:rPr>
                <w:noProof/>
                <w:webHidden/>
                <w:sz w:val="20"/>
                <w:szCs w:val="20"/>
              </w:rPr>
              <w:fldChar w:fldCharType="separate"/>
            </w:r>
            <w:r w:rsidR="00774ED7" w:rsidRPr="00EA6B18">
              <w:rPr>
                <w:noProof/>
                <w:webHidden/>
                <w:sz w:val="20"/>
                <w:szCs w:val="20"/>
              </w:rPr>
              <w:t>5</w:t>
            </w:r>
            <w:r w:rsidR="00774ED7" w:rsidRPr="00EA6B18">
              <w:rPr>
                <w:noProof/>
                <w:webHidden/>
                <w:sz w:val="20"/>
                <w:szCs w:val="20"/>
              </w:rPr>
              <w:fldChar w:fldCharType="end"/>
            </w:r>
          </w:hyperlink>
        </w:p>
        <w:p w14:paraId="07B4B75A" w14:textId="465718F4" w:rsidR="00774ED7" w:rsidRPr="00EA6B18" w:rsidRDefault="00774ED7">
          <w:pPr>
            <w:rPr>
              <w:sz w:val="20"/>
              <w:szCs w:val="20"/>
            </w:rPr>
          </w:pPr>
          <w:r w:rsidRPr="00EA6B18">
            <w:rPr>
              <w:b/>
              <w:bCs/>
              <w:noProof/>
              <w:sz w:val="20"/>
              <w:szCs w:val="20"/>
            </w:rPr>
            <w:fldChar w:fldCharType="end"/>
          </w:r>
        </w:p>
      </w:sdtContent>
    </w:sdt>
    <w:p w14:paraId="4749512E" w14:textId="77777777" w:rsidR="002E063A" w:rsidRPr="00EA6B18" w:rsidRDefault="002E063A" w:rsidP="00CC2619">
      <w:pPr>
        <w:rPr>
          <w:sz w:val="20"/>
          <w:szCs w:val="20"/>
        </w:rPr>
      </w:pPr>
    </w:p>
    <w:p w14:paraId="65851311" w14:textId="77777777" w:rsidR="00F85760" w:rsidRPr="00EA6B18" w:rsidRDefault="00F85760" w:rsidP="00481529">
      <w:pPr>
        <w:pStyle w:val="Heading2"/>
        <w:contextualSpacing/>
        <w:rPr>
          <w:rFonts w:ascii="Calibri" w:hAnsi="Calibri" w:cs="Calibri"/>
          <w:sz w:val="20"/>
          <w:szCs w:val="20"/>
        </w:rPr>
      </w:pPr>
    </w:p>
    <w:p w14:paraId="68199DDA" w14:textId="77777777" w:rsidR="006D15DA" w:rsidRPr="00EA6B18" w:rsidRDefault="006D15DA">
      <w:pPr>
        <w:spacing w:after="160" w:line="259" w:lineRule="auto"/>
        <w:rPr>
          <w:rFonts w:eastAsiaTheme="majorEastAsia"/>
          <w:color w:val="AC005D" w:themeColor="accent1" w:themeShade="BF"/>
          <w:sz w:val="20"/>
          <w:szCs w:val="20"/>
        </w:rPr>
      </w:pPr>
      <w:r w:rsidRPr="00EA6B18">
        <w:rPr>
          <w:sz w:val="20"/>
          <w:szCs w:val="20"/>
        </w:rPr>
        <w:br w:type="page"/>
      </w:r>
    </w:p>
    <w:p w14:paraId="4FC1FDF1" w14:textId="42117E5D" w:rsidR="000D2107" w:rsidRPr="00EA6B18" w:rsidRDefault="000D2107" w:rsidP="00AB40F4">
      <w:pPr>
        <w:pStyle w:val="Heading2"/>
        <w:rPr>
          <w:rFonts w:ascii="Calibri" w:hAnsi="Calibri" w:cs="Calibri"/>
          <w:sz w:val="20"/>
          <w:szCs w:val="20"/>
        </w:rPr>
      </w:pPr>
      <w:bookmarkStart w:id="6" w:name="_Toc20304762"/>
      <w:r w:rsidRPr="00EA6B18">
        <w:rPr>
          <w:rFonts w:ascii="Calibri" w:hAnsi="Calibri" w:cs="Calibri"/>
          <w:sz w:val="20"/>
          <w:szCs w:val="20"/>
        </w:rPr>
        <w:lastRenderedPageBreak/>
        <w:t>1. Introduction</w:t>
      </w:r>
      <w:bookmarkEnd w:id="6"/>
    </w:p>
    <w:p w14:paraId="011AF705" w14:textId="77777777" w:rsidR="00EA6B18" w:rsidRDefault="00EA6B18" w:rsidP="007A6A2A">
      <w:pPr>
        <w:rPr>
          <w:sz w:val="20"/>
          <w:szCs w:val="20"/>
        </w:rPr>
      </w:pPr>
    </w:p>
    <w:p w14:paraId="5254BA5F" w14:textId="2A755935" w:rsidR="000D2107" w:rsidRPr="00EA6B18" w:rsidRDefault="007A6A2A" w:rsidP="007A6A2A">
      <w:pPr>
        <w:rPr>
          <w:sz w:val="20"/>
          <w:szCs w:val="20"/>
        </w:rPr>
      </w:pPr>
      <w:r w:rsidRPr="00EA6B18">
        <w:rPr>
          <w:sz w:val="20"/>
          <w:szCs w:val="20"/>
        </w:rPr>
        <w:t xml:space="preserve">This report </w:t>
      </w:r>
      <w:r w:rsidR="005A3EFE">
        <w:rPr>
          <w:sz w:val="20"/>
          <w:szCs w:val="20"/>
        </w:rPr>
        <w:t>presents</w:t>
      </w:r>
      <w:r w:rsidRPr="00EA6B18">
        <w:rPr>
          <w:sz w:val="20"/>
          <w:szCs w:val="20"/>
        </w:rPr>
        <w:t xml:space="preserve"> output from a project completed for the Royal Geographical </w:t>
      </w:r>
      <w:r w:rsidR="00DC3DA9" w:rsidRPr="00EA6B18">
        <w:rPr>
          <w:sz w:val="20"/>
          <w:szCs w:val="20"/>
        </w:rPr>
        <w:t>S</w:t>
      </w:r>
      <w:r w:rsidRPr="00EA6B18">
        <w:rPr>
          <w:sz w:val="20"/>
          <w:szCs w:val="20"/>
        </w:rPr>
        <w:t xml:space="preserve">ociety analysing entries </w:t>
      </w:r>
      <w:r w:rsidR="00DC3DA9" w:rsidRPr="00EA6B18">
        <w:rPr>
          <w:sz w:val="20"/>
          <w:szCs w:val="20"/>
        </w:rPr>
        <w:t xml:space="preserve">into, and attainment </w:t>
      </w:r>
      <w:r w:rsidRPr="00EA6B18">
        <w:rPr>
          <w:sz w:val="20"/>
          <w:szCs w:val="20"/>
        </w:rPr>
        <w:t>in</w:t>
      </w:r>
      <w:r w:rsidR="00DC3DA9" w:rsidRPr="00EA6B18">
        <w:rPr>
          <w:sz w:val="20"/>
          <w:szCs w:val="20"/>
        </w:rPr>
        <w:t>,</w:t>
      </w:r>
      <w:r w:rsidRPr="00EA6B18">
        <w:rPr>
          <w:sz w:val="20"/>
          <w:szCs w:val="20"/>
        </w:rPr>
        <w:t xml:space="preserve"> GCSE geography</w:t>
      </w:r>
      <w:r w:rsidR="006741B7" w:rsidRPr="00EA6B18">
        <w:rPr>
          <w:rStyle w:val="FootnoteReference"/>
          <w:sz w:val="20"/>
          <w:szCs w:val="20"/>
        </w:rPr>
        <w:footnoteReference w:id="1"/>
      </w:r>
      <w:r w:rsidRPr="00EA6B18">
        <w:rPr>
          <w:sz w:val="20"/>
          <w:szCs w:val="20"/>
        </w:rPr>
        <w:t xml:space="preserve"> for the period 2009/10-2017/18</w:t>
      </w:r>
      <w:r w:rsidR="00DC3DA9" w:rsidRPr="00EA6B18">
        <w:rPr>
          <w:rStyle w:val="FootnoteReference"/>
          <w:sz w:val="20"/>
          <w:szCs w:val="20"/>
        </w:rPr>
        <w:footnoteReference w:id="2"/>
      </w:r>
      <w:r w:rsidRPr="00EA6B18">
        <w:rPr>
          <w:sz w:val="20"/>
          <w:szCs w:val="20"/>
        </w:rPr>
        <w:t>. Analysis has been completed for a range of pupil and school characteristics, building a detailed picture of participation in geography at Key Stage 4 over this time period.</w:t>
      </w:r>
    </w:p>
    <w:p w14:paraId="51648BF2" w14:textId="4F958458" w:rsidR="00774ED7" w:rsidRPr="00EA6B18" w:rsidRDefault="00774ED7" w:rsidP="007A6A2A">
      <w:pPr>
        <w:rPr>
          <w:sz w:val="20"/>
          <w:szCs w:val="20"/>
        </w:rPr>
      </w:pPr>
    </w:p>
    <w:p w14:paraId="5134CE8D" w14:textId="3C21C0C4" w:rsidR="007A6A2A" w:rsidRPr="00EA6B18" w:rsidRDefault="007A6A2A" w:rsidP="007A6A2A">
      <w:pPr>
        <w:rPr>
          <w:sz w:val="20"/>
          <w:szCs w:val="20"/>
        </w:rPr>
      </w:pPr>
      <w:r w:rsidRPr="00EA6B18">
        <w:rPr>
          <w:sz w:val="20"/>
          <w:szCs w:val="20"/>
        </w:rPr>
        <w:t xml:space="preserve">A separate document is available which describes the methodology followed and </w:t>
      </w:r>
      <w:r w:rsidR="00DC3DA9" w:rsidRPr="00EA6B18">
        <w:rPr>
          <w:sz w:val="20"/>
          <w:szCs w:val="20"/>
        </w:rPr>
        <w:t>definitions used</w:t>
      </w:r>
      <w:r w:rsidRPr="00EA6B18">
        <w:rPr>
          <w:sz w:val="20"/>
          <w:szCs w:val="20"/>
        </w:rPr>
        <w:t>.</w:t>
      </w:r>
    </w:p>
    <w:p w14:paraId="116DA16F" w14:textId="77777777" w:rsidR="007A6A2A" w:rsidRPr="00EA6B18" w:rsidRDefault="007A6A2A" w:rsidP="007A6A2A">
      <w:pPr>
        <w:rPr>
          <w:sz w:val="20"/>
          <w:szCs w:val="20"/>
        </w:rPr>
      </w:pPr>
    </w:p>
    <w:p w14:paraId="798C19E5" w14:textId="016B2DD1" w:rsidR="002F04E4" w:rsidRPr="00EA6B18" w:rsidRDefault="00EC59B6" w:rsidP="00EC59B6">
      <w:pPr>
        <w:pStyle w:val="Heading3"/>
        <w:rPr>
          <w:rFonts w:ascii="Calibri" w:hAnsi="Calibri" w:cs="Calibri"/>
          <w:sz w:val="20"/>
          <w:szCs w:val="20"/>
        </w:rPr>
      </w:pPr>
      <w:bookmarkStart w:id="7" w:name="_Toc20304763"/>
      <w:r w:rsidRPr="00EA6B18">
        <w:rPr>
          <w:rFonts w:ascii="Calibri" w:hAnsi="Calibri" w:cs="Calibri"/>
          <w:sz w:val="20"/>
          <w:szCs w:val="20"/>
        </w:rPr>
        <w:t>Acknowledgments</w:t>
      </w:r>
      <w:bookmarkEnd w:id="7"/>
    </w:p>
    <w:p w14:paraId="3A34B832" w14:textId="5020E37C" w:rsidR="00EC59B6" w:rsidRDefault="00EC59B6" w:rsidP="00AB40F4">
      <w:pPr>
        <w:rPr>
          <w:sz w:val="20"/>
          <w:szCs w:val="20"/>
        </w:rPr>
      </w:pPr>
      <w:r w:rsidRPr="00EA6B18">
        <w:rPr>
          <w:sz w:val="20"/>
          <w:szCs w:val="20"/>
        </w:rPr>
        <w:t xml:space="preserve">This publication includes analysis of the Department for Education </w:t>
      </w:r>
      <w:hyperlink r:id="rId9" w:history="1">
        <w:r w:rsidRPr="00EA6B18">
          <w:rPr>
            <w:rStyle w:val="Hyperlink"/>
            <w:sz w:val="20"/>
            <w:szCs w:val="20"/>
          </w:rPr>
          <w:t>National Pupil Database</w:t>
        </w:r>
      </w:hyperlink>
      <w:r w:rsidRPr="00EA6B18">
        <w:rPr>
          <w:sz w:val="20"/>
          <w:szCs w:val="20"/>
        </w:rPr>
        <w:t>. Inferences or conclusions derived from the NPD in this publication are the responsibility of FFT Education Datalab and not the Department for Education</w:t>
      </w:r>
      <w:r w:rsidR="00AA2799" w:rsidRPr="00EA6B18">
        <w:rPr>
          <w:sz w:val="20"/>
          <w:szCs w:val="20"/>
        </w:rPr>
        <w:t>.</w:t>
      </w:r>
    </w:p>
    <w:p w14:paraId="4399E34F" w14:textId="77777777" w:rsidR="00374B34" w:rsidRDefault="00374B34" w:rsidP="00AB40F4">
      <w:pPr>
        <w:rPr>
          <w:sz w:val="20"/>
          <w:szCs w:val="20"/>
        </w:rPr>
      </w:pPr>
    </w:p>
    <w:p w14:paraId="2895A279" w14:textId="77777777" w:rsidR="00374B34" w:rsidRDefault="00374B34" w:rsidP="00374B34">
      <w:pPr>
        <w:pStyle w:val="Heading3"/>
        <w:rPr>
          <w:rFonts w:ascii="Calibri" w:hAnsi="Calibri" w:cs="Calibri"/>
          <w:sz w:val="20"/>
          <w:szCs w:val="20"/>
        </w:rPr>
      </w:pPr>
      <w:r w:rsidRPr="009700AE">
        <w:rPr>
          <w:rFonts w:ascii="Calibri" w:hAnsi="Calibri" w:cs="Calibri"/>
          <w:sz w:val="20"/>
          <w:szCs w:val="20"/>
        </w:rPr>
        <w:t>Navigation</w:t>
      </w:r>
    </w:p>
    <w:p w14:paraId="0F86C83D" w14:textId="77777777" w:rsidR="00374B34" w:rsidRPr="009700AE" w:rsidRDefault="00374B34" w:rsidP="00374B34"/>
    <w:p w14:paraId="40BC9331" w14:textId="77777777" w:rsidR="00374B34" w:rsidRPr="009700AE" w:rsidRDefault="00374B34" w:rsidP="00374B34">
      <w:pPr>
        <w:rPr>
          <w:sz w:val="20"/>
          <w:szCs w:val="20"/>
        </w:rPr>
      </w:pPr>
      <w:r w:rsidRPr="009700AE">
        <w:rPr>
          <w:sz w:val="20"/>
          <w:szCs w:val="20"/>
        </w:rPr>
        <w:t xml:space="preserve">Titles used in sections 3 and 4 of this report correspond to worksheets in the Excel document provided showing </w:t>
      </w:r>
      <w:proofErr w:type="gramStart"/>
      <w:r w:rsidRPr="009700AE">
        <w:rPr>
          <w:sz w:val="20"/>
          <w:szCs w:val="20"/>
        </w:rPr>
        <w:t>all of</w:t>
      </w:r>
      <w:proofErr w:type="gramEnd"/>
      <w:r w:rsidRPr="009700AE">
        <w:rPr>
          <w:sz w:val="20"/>
          <w:szCs w:val="20"/>
        </w:rPr>
        <w:t xml:space="preserve"> the results of this project. This workbook also includes charts showing trends in entries and attainment for each of the student and establishment characteristics looked at. Sections 3 and 4 of this report are best read as an accompaniment to these charts.</w:t>
      </w:r>
    </w:p>
    <w:p w14:paraId="01B219D5" w14:textId="77777777" w:rsidR="00374B34" w:rsidRPr="00EA6B18" w:rsidRDefault="00374B34" w:rsidP="00AB40F4">
      <w:pPr>
        <w:rPr>
          <w:sz w:val="20"/>
          <w:szCs w:val="20"/>
        </w:rPr>
      </w:pPr>
    </w:p>
    <w:p w14:paraId="0D400620" w14:textId="77777777" w:rsidR="00145023" w:rsidRPr="00EA6B18" w:rsidRDefault="00145023" w:rsidP="00145023">
      <w:pPr>
        <w:pStyle w:val="Heading3"/>
        <w:rPr>
          <w:rFonts w:ascii="Calibri" w:hAnsi="Calibri" w:cs="Calibri"/>
          <w:color w:val="AC005D" w:themeColor="accent1" w:themeShade="BF"/>
          <w:sz w:val="20"/>
          <w:szCs w:val="20"/>
        </w:rPr>
      </w:pPr>
    </w:p>
    <w:p w14:paraId="6CC28675" w14:textId="4C5A2054" w:rsidR="001A6913" w:rsidRPr="00EA6B18" w:rsidRDefault="000D2107" w:rsidP="00481529">
      <w:pPr>
        <w:pStyle w:val="Heading2"/>
        <w:contextualSpacing/>
        <w:rPr>
          <w:rFonts w:ascii="Calibri" w:hAnsi="Calibri" w:cs="Calibri"/>
          <w:sz w:val="20"/>
          <w:szCs w:val="20"/>
        </w:rPr>
      </w:pPr>
      <w:bookmarkStart w:id="8" w:name="_Toc20304764"/>
      <w:r w:rsidRPr="00EA6B18">
        <w:rPr>
          <w:rFonts w:ascii="Calibri" w:hAnsi="Calibri" w:cs="Calibri"/>
          <w:sz w:val="20"/>
          <w:szCs w:val="20"/>
        </w:rPr>
        <w:t>2</w:t>
      </w:r>
      <w:r w:rsidR="00660875" w:rsidRPr="00EA6B18">
        <w:rPr>
          <w:rFonts w:ascii="Calibri" w:hAnsi="Calibri" w:cs="Calibri"/>
          <w:sz w:val="20"/>
          <w:szCs w:val="20"/>
        </w:rPr>
        <w:t xml:space="preserve">. </w:t>
      </w:r>
      <w:r w:rsidR="003B78CE" w:rsidRPr="00EA6B18">
        <w:rPr>
          <w:rFonts w:ascii="Calibri" w:hAnsi="Calibri" w:cs="Calibri"/>
          <w:sz w:val="20"/>
          <w:szCs w:val="20"/>
        </w:rPr>
        <w:t>Summary</w:t>
      </w:r>
      <w:bookmarkEnd w:id="8"/>
    </w:p>
    <w:p w14:paraId="2EF2D712" w14:textId="77777777" w:rsidR="00EA6B18" w:rsidRDefault="00EA6B18" w:rsidP="003B78CE">
      <w:pPr>
        <w:rPr>
          <w:sz w:val="20"/>
          <w:szCs w:val="20"/>
        </w:rPr>
      </w:pPr>
    </w:p>
    <w:p w14:paraId="64DA9948" w14:textId="1DAD95EE" w:rsidR="003B78CE" w:rsidRPr="00EA6B18" w:rsidRDefault="00B16CAE" w:rsidP="003B78CE">
      <w:pPr>
        <w:rPr>
          <w:sz w:val="20"/>
          <w:szCs w:val="20"/>
        </w:rPr>
      </w:pPr>
      <w:r w:rsidRPr="00EA6B18">
        <w:rPr>
          <w:sz w:val="20"/>
          <w:szCs w:val="20"/>
        </w:rPr>
        <w:t xml:space="preserve">At a national level, entries into geography GCSE have increased strongly since 2010 – from </w:t>
      </w:r>
      <w:r w:rsidR="00B65385" w:rsidRPr="00EA6B18">
        <w:rPr>
          <w:sz w:val="20"/>
          <w:szCs w:val="20"/>
        </w:rPr>
        <w:t>roughly</w:t>
      </w:r>
      <w:r w:rsidRPr="00EA6B18">
        <w:rPr>
          <w:sz w:val="20"/>
          <w:szCs w:val="20"/>
        </w:rPr>
        <w:t xml:space="preserve"> 1</w:t>
      </w:r>
      <w:r w:rsidR="00B65385" w:rsidRPr="00EA6B18">
        <w:rPr>
          <w:sz w:val="20"/>
          <w:szCs w:val="20"/>
        </w:rPr>
        <w:t>69</w:t>
      </w:r>
      <w:r w:rsidRPr="00EA6B18">
        <w:rPr>
          <w:sz w:val="20"/>
          <w:szCs w:val="20"/>
        </w:rPr>
        <w:t>,000 in 2010 to 239,000 in 2018, at a time when the age 16 population decreased.</w:t>
      </w:r>
    </w:p>
    <w:p w14:paraId="4B2ADE69" w14:textId="5C5B06D1" w:rsidR="00B16CAE" w:rsidRPr="00EA6B18" w:rsidRDefault="00B16CAE" w:rsidP="003B78CE">
      <w:pPr>
        <w:rPr>
          <w:sz w:val="20"/>
          <w:szCs w:val="20"/>
        </w:rPr>
      </w:pPr>
    </w:p>
    <w:p w14:paraId="2B2173F4" w14:textId="001B628A" w:rsidR="00B16CAE" w:rsidRPr="00EA6B18" w:rsidRDefault="00B16CAE" w:rsidP="003B78CE">
      <w:pPr>
        <w:rPr>
          <w:sz w:val="20"/>
          <w:szCs w:val="20"/>
        </w:rPr>
      </w:pPr>
      <w:r w:rsidRPr="00EA6B18">
        <w:rPr>
          <w:sz w:val="20"/>
          <w:szCs w:val="20"/>
        </w:rPr>
        <w:t>Entries rec</w:t>
      </w:r>
      <w:r w:rsidR="00DC3DA9" w:rsidRPr="00EA6B18">
        <w:rPr>
          <w:sz w:val="20"/>
          <w:szCs w:val="20"/>
        </w:rPr>
        <w:t>eived a boost from 2016 onwards</w:t>
      </w:r>
      <w:r w:rsidRPr="00EA6B18">
        <w:rPr>
          <w:sz w:val="20"/>
          <w:szCs w:val="20"/>
        </w:rPr>
        <w:t xml:space="preserve"> with the introduction of the Progress 8 accountability measure, with geography counting </w:t>
      </w:r>
      <w:r w:rsidR="00DC3DA9" w:rsidRPr="00EA6B18">
        <w:rPr>
          <w:sz w:val="20"/>
          <w:szCs w:val="20"/>
        </w:rPr>
        <w:t xml:space="preserve">in </w:t>
      </w:r>
      <w:r w:rsidRPr="00EA6B18">
        <w:rPr>
          <w:sz w:val="20"/>
          <w:szCs w:val="20"/>
        </w:rPr>
        <w:t xml:space="preserve">the </w:t>
      </w:r>
      <w:r w:rsidR="00DC3DA9" w:rsidRPr="00EA6B18">
        <w:rPr>
          <w:sz w:val="20"/>
          <w:szCs w:val="20"/>
        </w:rPr>
        <w:t xml:space="preserve">three </w:t>
      </w:r>
      <w:r w:rsidRPr="00EA6B18">
        <w:rPr>
          <w:sz w:val="20"/>
          <w:szCs w:val="20"/>
        </w:rPr>
        <w:t>slots reserved for English Baccalaureate subjects.</w:t>
      </w:r>
    </w:p>
    <w:p w14:paraId="36A7E9F6" w14:textId="69C0B16A" w:rsidR="00B16CAE" w:rsidRPr="00EA6B18" w:rsidRDefault="00B16CAE" w:rsidP="003B78CE">
      <w:pPr>
        <w:rPr>
          <w:sz w:val="20"/>
          <w:szCs w:val="20"/>
        </w:rPr>
      </w:pPr>
    </w:p>
    <w:p w14:paraId="1976FC8F" w14:textId="77777777" w:rsidR="00D67566" w:rsidRPr="00EA6B18" w:rsidRDefault="00D67566" w:rsidP="00D67566">
      <w:pPr>
        <w:jc w:val="center"/>
        <w:rPr>
          <w:sz w:val="20"/>
          <w:szCs w:val="20"/>
        </w:rPr>
      </w:pPr>
      <w:r w:rsidRPr="00EA6B18">
        <w:rPr>
          <w:noProof/>
          <w:sz w:val="20"/>
          <w:szCs w:val="20"/>
          <w:lang w:eastAsia="en-GB"/>
        </w:rPr>
        <w:drawing>
          <wp:inline distT="0" distB="0" distL="0" distR="0" wp14:anchorId="44E48785" wp14:editId="60A203E7">
            <wp:extent cx="4483316" cy="32760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s_ks4_c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3316" cy="3276000"/>
                    </a:xfrm>
                    <a:prstGeom prst="rect">
                      <a:avLst/>
                    </a:prstGeom>
                  </pic:spPr>
                </pic:pic>
              </a:graphicData>
            </a:graphic>
          </wp:inline>
        </w:drawing>
      </w:r>
    </w:p>
    <w:p w14:paraId="53BF7D39" w14:textId="77777777" w:rsidR="00D67566" w:rsidRPr="00EA6B18" w:rsidRDefault="00D67566" w:rsidP="00D67566">
      <w:pPr>
        <w:rPr>
          <w:sz w:val="20"/>
          <w:szCs w:val="20"/>
        </w:rPr>
      </w:pPr>
    </w:p>
    <w:p w14:paraId="1C0A8FE7" w14:textId="2E8F8A75" w:rsidR="00D67566" w:rsidRPr="00EA6B18" w:rsidRDefault="00B16CAE" w:rsidP="00D67566">
      <w:pPr>
        <w:rPr>
          <w:sz w:val="20"/>
          <w:szCs w:val="20"/>
        </w:rPr>
      </w:pPr>
      <w:r w:rsidRPr="00EA6B18">
        <w:rPr>
          <w:sz w:val="20"/>
          <w:szCs w:val="20"/>
        </w:rPr>
        <w:t>This increase in entries came predominantly from groups who had been less likely to take geography GCSE previously – notably, disadvantaged pupils and those with lower prior attainment.</w:t>
      </w:r>
    </w:p>
    <w:p w14:paraId="4220F2F5" w14:textId="77777777" w:rsidR="0009234F" w:rsidRPr="00EA6B18" w:rsidRDefault="0009234F" w:rsidP="003B78CE">
      <w:pPr>
        <w:rPr>
          <w:sz w:val="20"/>
          <w:szCs w:val="20"/>
        </w:rPr>
      </w:pPr>
    </w:p>
    <w:p w14:paraId="23350821" w14:textId="4C38BFE2" w:rsidR="00B16CAE" w:rsidRPr="00EA6B18" w:rsidRDefault="0009234F" w:rsidP="003B78CE">
      <w:pPr>
        <w:rPr>
          <w:sz w:val="20"/>
          <w:szCs w:val="20"/>
        </w:rPr>
      </w:pPr>
      <w:r w:rsidRPr="00EA6B18">
        <w:rPr>
          <w:sz w:val="20"/>
          <w:szCs w:val="20"/>
        </w:rPr>
        <w:t>Increasing entries in the state sector more than offset declining entries in the independent sector between 2010 and 2017</w:t>
      </w:r>
      <w:r w:rsidR="00DC3DA9" w:rsidRPr="00EA6B18">
        <w:rPr>
          <w:sz w:val="20"/>
          <w:szCs w:val="20"/>
        </w:rPr>
        <w:t xml:space="preserve">. </w:t>
      </w:r>
      <w:r w:rsidR="009C289F" w:rsidRPr="00EA6B18">
        <w:rPr>
          <w:sz w:val="20"/>
          <w:szCs w:val="20"/>
        </w:rPr>
        <w:t>GCSE e</w:t>
      </w:r>
      <w:r w:rsidR="00DC3DA9" w:rsidRPr="00EA6B18">
        <w:rPr>
          <w:sz w:val="20"/>
          <w:szCs w:val="20"/>
        </w:rPr>
        <w:t xml:space="preserve">ntries in the </w:t>
      </w:r>
      <w:r w:rsidR="009C289F" w:rsidRPr="00EA6B18">
        <w:rPr>
          <w:sz w:val="20"/>
          <w:szCs w:val="20"/>
        </w:rPr>
        <w:t xml:space="preserve">independent sector recovered slightly in 2018, which </w:t>
      </w:r>
      <w:r w:rsidRPr="00EA6B18">
        <w:rPr>
          <w:sz w:val="20"/>
          <w:szCs w:val="20"/>
        </w:rPr>
        <w:t xml:space="preserve">may be explained by independent schools returning to the </w:t>
      </w:r>
      <w:r w:rsidR="009C289F" w:rsidRPr="00EA6B18">
        <w:rPr>
          <w:sz w:val="20"/>
          <w:szCs w:val="20"/>
        </w:rPr>
        <w:t xml:space="preserve">reformed, 9-1 </w:t>
      </w:r>
      <w:r w:rsidRPr="00EA6B18">
        <w:rPr>
          <w:sz w:val="20"/>
          <w:szCs w:val="20"/>
        </w:rPr>
        <w:t>GCSE</w:t>
      </w:r>
      <w:r w:rsidR="009C289F" w:rsidRPr="00EA6B18">
        <w:rPr>
          <w:sz w:val="20"/>
          <w:szCs w:val="20"/>
        </w:rPr>
        <w:t>, after having moved over to international GCSEs</w:t>
      </w:r>
      <w:r w:rsidRPr="00EA6B18">
        <w:rPr>
          <w:sz w:val="20"/>
          <w:szCs w:val="20"/>
        </w:rPr>
        <w:t xml:space="preserve">. </w:t>
      </w:r>
    </w:p>
    <w:p w14:paraId="4E13AD8E" w14:textId="5679DE85" w:rsidR="00B16CAE" w:rsidRPr="00EA6B18" w:rsidRDefault="00B16CAE" w:rsidP="003B78CE">
      <w:pPr>
        <w:rPr>
          <w:sz w:val="20"/>
          <w:szCs w:val="20"/>
        </w:rPr>
      </w:pPr>
    </w:p>
    <w:p w14:paraId="2486F6BE" w14:textId="38347580" w:rsidR="00B16CAE" w:rsidRPr="00EA6B18" w:rsidRDefault="0009234F" w:rsidP="003B78CE">
      <w:pPr>
        <w:rPr>
          <w:sz w:val="20"/>
          <w:szCs w:val="20"/>
        </w:rPr>
      </w:pPr>
      <w:r w:rsidRPr="00EA6B18">
        <w:rPr>
          <w:sz w:val="20"/>
          <w:szCs w:val="20"/>
        </w:rPr>
        <w:t>Attainment in geography GCSE fell as the range of pupils entering the qualification increased – visible at both the 9-7 (formerly A*-A) and 9-4 (formerly A*-C) attainment levels.</w:t>
      </w:r>
    </w:p>
    <w:p w14:paraId="4F8C7D0D" w14:textId="79FCFD0B" w:rsidR="00D67566" w:rsidRPr="00EA6B18" w:rsidRDefault="00D67566" w:rsidP="003B78CE">
      <w:pPr>
        <w:rPr>
          <w:sz w:val="20"/>
          <w:szCs w:val="20"/>
        </w:rPr>
      </w:pPr>
    </w:p>
    <w:p w14:paraId="79849531" w14:textId="04F4D99B" w:rsidR="00D67566" w:rsidRPr="00EA6B18" w:rsidRDefault="00D67566" w:rsidP="00D67566">
      <w:pPr>
        <w:jc w:val="center"/>
        <w:rPr>
          <w:sz w:val="20"/>
          <w:szCs w:val="20"/>
        </w:rPr>
      </w:pPr>
      <w:r w:rsidRPr="00EA6B18">
        <w:rPr>
          <w:noProof/>
          <w:sz w:val="20"/>
          <w:szCs w:val="20"/>
          <w:lang w:eastAsia="en-GB"/>
        </w:rPr>
        <w:drawing>
          <wp:inline distT="0" distB="0" distL="0" distR="0" wp14:anchorId="404CBBF7" wp14:editId="19ED210F">
            <wp:extent cx="4474008" cy="3275879"/>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s_ks4_ch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4008" cy="3275879"/>
                    </a:xfrm>
                    <a:prstGeom prst="rect">
                      <a:avLst/>
                    </a:prstGeom>
                  </pic:spPr>
                </pic:pic>
              </a:graphicData>
            </a:graphic>
          </wp:inline>
        </w:drawing>
      </w:r>
    </w:p>
    <w:p w14:paraId="160F6A26" w14:textId="64062801" w:rsidR="00B16CAE" w:rsidRPr="00EA6B18" w:rsidRDefault="00B16CAE" w:rsidP="003B78CE">
      <w:pPr>
        <w:rPr>
          <w:sz w:val="20"/>
          <w:szCs w:val="20"/>
        </w:rPr>
      </w:pPr>
    </w:p>
    <w:p w14:paraId="4D0A71C6" w14:textId="40552FCC" w:rsidR="004D7DBC" w:rsidRPr="00EA6B18" w:rsidRDefault="004D7DBC" w:rsidP="003B78CE">
      <w:pPr>
        <w:rPr>
          <w:sz w:val="20"/>
          <w:szCs w:val="20"/>
        </w:rPr>
      </w:pPr>
      <w:r w:rsidRPr="00EA6B18">
        <w:rPr>
          <w:sz w:val="20"/>
          <w:szCs w:val="20"/>
        </w:rPr>
        <w:t xml:space="preserve">Attainment in geography GCSE is strongly associated with factors such as </w:t>
      </w:r>
      <w:r w:rsidR="009C289F" w:rsidRPr="00EA6B18">
        <w:rPr>
          <w:sz w:val="20"/>
          <w:szCs w:val="20"/>
        </w:rPr>
        <w:t>disadvantage status</w:t>
      </w:r>
      <w:r w:rsidRPr="00EA6B18">
        <w:rPr>
          <w:sz w:val="20"/>
          <w:szCs w:val="20"/>
        </w:rPr>
        <w:t xml:space="preserve">, prior attainment, school admissions policy and school inspection rating – with gaps in many cases increasing with the </w:t>
      </w:r>
      <w:r w:rsidR="009C289F" w:rsidRPr="00EA6B18">
        <w:rPr>
          <w:sz w:val="20"/>
          <w:szCs w:val="20"/>
        </w:rPr>
        <w:t xml:space="preserve">growth in </w:t>
      </w:r>
      <w:r w:rsidRPr="00EA6B18">
        <w:rPr>
          <w:sz w:val="20"/>
          <w:szCs w:val="20"/>
        </w:rPr>
        <w:t>up</w:t>
      </w:r>
      <w:r w:rsidR="009C289F" w:rsidRPr="00EA6B18">
        <w:rPr>
          <w:sz w:val="20"/>
          <w:szCs w:val="20"/>
        </w:rPr>
        <w:t>take</w:t>
      </w:r>
      <w:r w:rsidRPr="00EA6B18">
        <w:rPr>
          <w:sz w:val="20"/>
          <w:szCs w:val="20"/>
        </w:rPr>
        <w:t xml:space="preserve"> of geography</w:t>
      </w:r>
      <w:r w:rsidR="009C289F" w:rsidRPr="00EA6B18">
        <w:rPr>
          <w:sz w:val="20"/>
          <w:szCs w:val="20"/>
        </w:rPr>
        <w:t xml:space="preserve"> at Key Stage 4</w:t>
      </w:r>
      <w:r w:rsidRPr="00EA6B18">
        <w:rPr>
          <w:sz w:val="20"/>
          <w:szCs w:val="20"/>
        </w:rPr>
        <w:t>.</w:t>
      </w:r>
    </w:p>
    <w:p w14:paraId="3F09598D" w14:textId="37867554" w:rsidR="004D7DBC" w:rsidRPr="00EA6B18" w:rsidRDefault="004D7DBC" w:rsidP="003B78CE">
      <w:pPr>
        <w:rPr>
          <w:sz w:val="20"/>
          <w:szCs w:val="20"/>
        </w:rPr>
      </w:pPr>
    </w:p>
    <w:p w14:paraId="3C4FDC27" w14:textId="6ED88721" w:rsidR="004D7DBC" w:rsidRPr="00EA6B18" w:rsidRDefault="004D7DBC" w:rsidP="003B78CE">
      <w:pPr>
        <w:rPr>
          <w:sz w:val="20"/>
          <w:szCs w:val="20"/>
        </w:rPr>
      </w:pPr>
      <w:r w:rsidRPr="00EA6B18">
        <w:rPr>
          <w:sz w:val="20"/>
          <w:szCs w:val="20"/>
        </w:rPr>
        <w:t xml:space="preserve">Looked at regionally, there is now greater stratification in grades awarded in geography GCSE than was the case in 2010, with London, the south east, the south west and the east of England now showing performance </w:t>
      </w:r>
      <w:r w:rsidR="00402F4C" w:rsidRPr="00EA6B18">
        <w:rPr>
          <w:sz w:val="20"/>
          <w:szCs w:val="20"/>
        </w:rPr>
        <w:t xml:space="preserve">consistently </w:t>
      </w:r>
      <w:r w:rsidRPr="00EA6B18">
        <w:rPr>
          <w:sz w:val="20"/>
          <w:szCs w:val="20"/>
        </w:rPr>
        <w:t>above that of other regions.</w:t>
      </w:r>
    </w:p>
    <w:p w14:paraId="6481FC73" w14:textId="4E21AA3C" w:rsidR="003F0436" w:rsidRPr="00EA6B18" w:rsidRDefault="003F0436" w:rsidP="003B78CE">
      <w:pPr>
        <w:pStyle w:val="Heading2"/>
        <w:contextualSpacing/>
        <w:rPr>
          <w:rFonts w:ascii="Calibri" w:hAnsi="Calibri" w:cs="Calibri"/>
          <w:sz w:val="20"/>
          <w:szCs w:val="20"/>
        </w:rPr>
      </w:pPr>
    </w:p>
    <w:p w14:paraId="22C9C250" w14:textId="70255D87" w:rsidR="003B78CE" w:rsidRDefault="003F0436" w:rsidP="003B78CE">
      <w:pPr>
        <w:pStyle w:val="Heading2"/>
        <w:contextualSpacing/>
        <w:rPr>
          <w:rFonts w:ascii="Calibri" w:hAnsi="Calibri" w:cs="Calibri"/>
          <w:sz w:val="20"/>
          <w:szCs w:val="20"/>
        </w:rPr>
      </w:pPr>
      <w:bookmarkStart w:id="9" w:name="_Toc20304765"/>
      <w:r w:rsidRPr="00EA6B18">
        <w:rPr>
          <w:rFonts w:ascii="Calibri" w:hAnsi="Calibri" w:cs="Calibri"/>
          <w:sz w:val="20"/>
          <w:szCs w:val="20"/>
        </w:rPr>
        <w:t>3.</w:t>
      </w:r>
      <w:r w:rsidR="003B78CE" w:rsidRPr="00EA6B18">
        <w:rPr>
          <w:rFonts w:ascii="Calibri" w:hAnsi="Calibri" w:cs="Calibri"/>
          <w:sz w:val="20"/>
          <w:szCs w:val="20"/>
        </w:rPr>
        <w:t xml:space="preserve"> Pupil characteristics</w:t>
      </w:r>
      <w:bookmarkEnd w:id="9"/>
    </w:p>
    <w:p w14:paraId="71928CF2" w14:textId="77777777" w:rsidR="00EA6B18" w:rsidRPr="00EA6B18" w:rsidRDefault="00EA6B18" w:rsidP="00EA6B18"/>
    <w:p w14:paraId="31304477" w14:textId="1C76B18E" w:rsidR="003B78CE" w:rsidRPr="00EA6B18" w:rsidRDefault="003F0436" w:rsidP="003B78CE">
      <w:pPr>
        <w:pStyle w:val="Heading3"/>
        <w:contextualSpacing/>
        <w:rPr>
          <w:rFonts w:ascii="Calibri" w:eastAsia="Times New Roman" w:hAnsi="Calibri" w:cs="Calibri"/>
          <w:sz w:val="20"/>
          <w:szCs w:val="20"/>
        </w:rPr>
      </w:pPr>
      <w:bookmarkStart w:id="10" w:name="_Toc20304766"/>
      <w:r w:rsidRPr="00EA6B18">
        <w:rPr>
          <w:rFonts w:ascii="Calibri" w:eastAsia="Times New Roman" w:hAnsi="Calibri" w:cs="Calibri"/>
          <w:sz w:val="20"/>
          <w:szCs w:val="20"/>
        </w:rPr>
        <w:t>3.</w:t>
      </w:r>
      <w:r w:rsidR="003B78CE" w:rsidRPr="00EA6B18">
        <w:rPr>
          <w:rFonts w:ascii="Calibri" w:eastAsia="Times New Roman" w:hAnsi="Calibri" w:cs="Calibri"/>
          <w:sz w:val="20"/>
          <w:szCs w:val="20"/>
        </w:rPr>
        <w:t>1 Gender</w:t>
      </w:r>
      <w:bookmarkEnd w:id="10"/>
    </w:p>
    <w:p w14:paraId="7EEBFF04" w14:textId="668AF252" w:rsidR="008B0C8D" w:rsidRDefault="00B65385" w:rsidP="008B0C8D">
      <w:pPr>
        <w:spacing w:after="160" w:line="259" w:lineRule="auto"/>
        <w:rPr>
          <w:rFonts w:eastAsia="Times New Roman"/>
          <w:sz w:val="20"/>
          <w:szCs w:val="20"/>
        </w:rPr>
      </w:pPr>
      <w:r w:rsidRPr="00EA6B18">
        <w:rPr>
          <w:rFonts w:eastAsia="Times New Roman"/>
          <w:sz w:val="20"/>
          <w:szCs w:val="20"/>
        </w:rPr>
        <w:t xml:space="preserve">A gender gap in geography GCSE entries </w:t>
      </w:r>
      <w:r w:rsidR="008B0C8D" w:rsidRPr="00EA6B18">
        <w:rPr>
          <w:rFonts w:eastAsia="Times New Roman"/>
          <w:sz w:val="20"/>
          <w:szCs w:val="20"/>
        </w:rPr>
        <w:t xml:space="preserve">has existed – and remained </w:t>
      </w:r>
      <w:r w:rsidR="00083A3B" w:rsidRPr="00EA6B18">
        <w:rPr>
          <w:rFonts w:eastAsia="Times New Roman"/>
          <w:sz w:val="20"/>
          <w:szCs w:val="20"/>
        </w:rPr>
        <w:t>reasonably</w:t>
      </w:r>
      <w:r w:rsidR="008B0C8D" w:rsidRPr="00EA6B18">
        <w:rPr>
          <w:rFonts w:eastAsia="Times New Roman"/>
          <w:sz w:val="20"/>
          <w:szCs w:val="20"/>
        </w:rPr>
        <w:t xml:space="preserve"> stab</w:t>
      </w:r>
      <w:r w:rsidR="00083A3B" w:rsidRPr="00EA6B18">
        <w:rPr>
          <w:rFonts w:eastAsia="Times New Roman"/>
          <w:sz w:val="20"/>
          <w:szCs w:val="20"/>
        </w:rPr>
        <w:t xml:space="preserve">le – over the period looked at. In 2018, </w:t>
      </w:r>
      <w:r w:rsidR="008B0C8D" w:rsidRPr="00EA6B18">
        <w:rPr>
          <w:rFonts w:eastAsia="Times New Roman"/>
          <w:sz w:val="20"/>
          <w:szCs w:val="20"/>
        </w:rPr>
        <w:t>4</w:t>
      </w:r>
      <w:r w:rsidR="00934F4D" w:rsidRPr="00EA6B18">
        <w:rPr>
          <w:rFonts w:eastAsia="Times New Roman"/>
          <w:sz w:val="20"/>
          <w:szCs w:val="20"/>
        </w:rPr>
        <w:t>3</w:t>
      </w:r>
      <w:r w:rsidR="008B0C8D" w:rsidRPr="00EA6B18">
        <w:rPr>
          <w:rFonts w:eastAsia="Times New Roman"/>
          <w:sz w:val="20"/>
          <w:szCs w:val="20"/>
        </w:rPr>
        <w:t xml:space="preserve">% of boys and </w:t>
      </w:r>
      <w:r w:rsidR="00934F4D" w:rsidRPr="00EA6B18">
        <w:rPr>
          <w:rFonts w:eastAsia="Times New Roman"/>
          <w:sz w:val="20"/>
          <w:szCs w:val="20"/>
        </w:rPr>
        <w:t>39.4</w:t>
      </w:r>
      <w:r w:rsidR="008B0C8D" w:rsidRPr="00EA6B18">
        <w:rPr>
          <w:rFonts w:eastAsia="Times New Roman"/>
          <w:sz w:val="20"/>
          <w:szCs w:val="20"/>
        </w:rPr>
        <w:t xml:space="preserve">% of girls </w:t>
      </w:r>
      <w:r w:rsidR="00083A3B" w:rsidRPr="00EA6B18">
        <w:rPr>
          <w:rFonts w:eastAsia="Times New Roman"/>
          <w:sz w:val="20"/>
          <w:szCs w:val="20"/>
        </w:rPr>
        <w:t xml:space="preserve">took </w:t>
      </w:r>
      <w:r w:rsidR="008B0C8D" w:rsidRPr="00EA6B18">
        <w:rPr>
          <w:rFonts w:eastAsia="Times New Roman"/>
          <w:sz w:val="20"/>
          <w:szCs w:val="20"/>
        </w:rPr>
        <w:t xml:space="preserve">geography </w:t>
      </w:r>
      <w:r w:rsidR="00083A3B" w:rsidRPr="00EA6B18">
        <w:rPr>
          <w:rFonts w:eastAsia="Times New Roman"/>
          <w:sz w:val="20"/>
          <w:szCs w:val="20"/>
        </w:rPr>
        <w:t>GCSE</w:t>
      </w:r>
      <w:r w:rsidR="006741B7" w:rsidRPr="00EA6B18">
        <w:rPr>
          <w:rFonts w:eastAsia="Times New Roman"/>
          <w:sz w:val="20"/>
          <w:szCs w:val="20"/>
        </w:rPr>
        <w:t>.</w:t>
      </w:r>
    </w:p>
    <w:p w14:paraId="60D55BBF" w14:textId="05C6794B" w:rsidR="003A3F37" w:rsidRPr="00EA6B18" w:rsidRDefault="003A3F37" w:rsidP="008B0C8D">
      <w:pPr>
        <w:spacing w:after="160" w:line="259" w:lineRule="auto"/>
        <w:rPr>
          <w:rFonts w:eastAsia="Times New Roman"/>
          <w:sz w:val="20"/>
          <w:szCs w:val="20"/>
        </w:rPr>
      </w:pPr>
      <w:r w:rsidRPr="00EA6B18">
        <w:rPr>
          <w:rFonts w:eastAsia="Times New Roman"/>
          <w:sz w:val="20"/>
          <w:szCs w:val="20"/>
        </w:rPr>
        <w:t xml:space="preserve">The gap is reversed when considering attainment, though. When looking at the </w:t>
      </w:r>
      <w:r w:rsidR="008B0C8D" w:rsidRPr="00EA6B18">
        <w:rPr>
          <w:rFonts w:eastAsia="Times New Roman"/>
          <w:sz w:val="20"/>
          <w:szCs w:val="20"/>
        </w:rPr>
        <w:t>grade 4</w:t>
      </w:r>
      <w:r w:rsidRPr="00EA6B18">
        <w:rPr>
          <w:rFonts w:eastAsia="Times New Roman"/>
          <w:sz w:val="20"/>
          <w:szCs w:val="20"/>
        </w:rPr>
        <w:t>/C</w:t>
      </w:r>
      <w:r w:rsidR="008B0C8D" w:rsidRPr="00EA6B18">
        <w:rPr>
          <w:rFonts w:eastAsia="Times New Roman"/>
          <w:sz w:val="20"/>
          <w:szCs w:val="20"/>
        </w:rPr>
        <w:t xml:space="preserve"> or </w:t>
      </w:r>
      <w:r w:rsidRPr="00EA6B18">
        <w:rPr>
          <w:rFonts w:eastAsia="Times New Roman"/>
          <w:sz w:val="20"/>
          <w:szCs w:val="20"/>
        </w:rPr>
        <w:t xml:space="preserve">above </w:t>
      </w:r>
      <w:r w:rsidR="008B0C8D" w:rsidRPr="00EA6B18">
        <w:rPr>
          <w:rFonts w:eastAsia="Times New Roman"/>
          <w:sz w:val="20"/>
          <w:szCs w:val="20"/>
        </w:rPr>
        <w:t xml:space="preserve">threshold, </w:t>
      </w:r>
      <w:r w:rsidRPr="00EA6B18">
        <w:rPr>
          <w:rFonts w:eastAsia="Times New Roman"/>
          <w:sz w:val="20"/>
          <w:szCs w:val="20"/>
        </w:rPr>
        <w:t xml:space="preserve">the gap of 6.6 percentage points in girls’ favour in 2018 is almost identical to that seen in 2010 – though the gap has been </w:t>
      </w:r>
      <w:r w:rsidR="00870D79" w:rsidRPr="00EA6B18">
        <w:rPr>
          <w:rFonts w:eastAsia="Times New Roman"/>
          <w:sz w:val="20"/>
          <w:szCs w:val="20"/>
        </w:rPr>
        <w:t xml:space="preserve">some way </w:t>
      </w:r>
      <w:r w:rsidRPr="00EA6B18">
        <w:rPr>
          <w:rFonts w:eastAsia="Times New Roman"/>
          <w:sz w:val="20"/>
          <w:szCs w:val="20"/>
        </w:rPr>
        <w:t>larger in all intervening years.</w:t>
      </w:r>
    </w:p>
    <w:p w14:paraId="72D2FACF" w14:textId="5CC5B317" w:rsidR="003A3F37" w:rsidRPr="00EA6B18" w:rsidRDefault="003A3F37" w:rsidP="003A3F37">
      <w:pPr>
        <w:spacing w:after="160" w:line="259" w:lineRule="auto"/>
        <w:rPr>
          <w:rFonts w:eastAsia="Times New Roman"/>
          <w:sz w:val="20"/>
          <w:szCs w:val="20"/>
        </w:rPr>
      </w:pPr>
      <w:r w:rsidRPr="00EA6B18">
        <w:rPr>
          <w:rFonts w:eastAsia="Times New Roman"/>
          <w:sz w:val="20"/>
          <w:szCs w:val="20"/>
        </w:rPr>
        <w:t>At the grade 7</w:t>
      </w:r>
      <w:r w:rsidR="00FE118E" w:rsidRPr="00EA6B18">
        <w:rPr>
          <w:rFonts w:eastAsia="Times New Roman"/>
          <w:sz w:val="20"/>
          <w:szCs w:val="20"/>
        </w:rPr>
        <w:t>/A</w:t>
      </w:r>
      <w:r w:rsidRPr="00EA6B18">
        <w:rPr>
          <w:rFonts w:eastAsia="Times New Roman"/>
          <w:sz w:val="20"/>
          <w:szCs w:val="20"/>
        </w:rPr>
        <w:t xml:space="preserve"> or above threshold, a gap of 6.7 percentage points in girls’ favour existed between the sexes in 2018 –</w:t>
      </w:r>
      <w:r w:rsidR="00FE118E" w:rsidRPr="00EA6B18">
        <w:rPr>
          <w:rFonts w:eastAsia="Times New Roman"/>
          <w:sz w:val="20"/>
          <w:szCs w:val="20"/>
        </w:rPr>
        <w:t xml:space="preserve"> </w:t>
      </w:r>
      <w:r w:rsidRPr="00EA6B18">
        <w:rPr>
          <w:rFonts w:eastAsia="Times New Roman"/>
          <w:sz w:val="20"/>
          <w:szCs w:val="20"/>
        </w:rPr>
        <w:t>lower than the gap of 8.7 percentage points present in 2010</w:t>
      </w:r>
      <w:r w:rsidR="00FE118E" w:rsidRPr="00EA6B18">
        <w:rPr>
          <w:rFonts w:eastAsia="Times New Roman"/>
          <w:sz w:val="20"/>
          <w:szCs w:val="20"/>
        </w:rPr>
        <w:t>, and some way lower than that seen in all intervening years.</w:t>
      </w:r>
    </w:p>
    <w:p w14:paraId="4E6CD273" w14:textId="0BBA1245" w:rsidR="00870D79" w:rsidRPr="00EA6B18" w:rsidRDefault="00FE118E">
      <w:pPr>
        <w:spacing w:after="160" w:line="259" w:lineRule="auto"/>
        <w:rPr>
          <w:sz w:val="20"/>
          <w:szCs w:val="20"/>
        </w:rPr>
      </w:pPr>
      <w:r w:rsidRPr="00EA6B18">
        <w:rPr>
          <w:rFonts w:eastAsia="Times New Roman"/>
          <w:sz w:val="20"/>
          <w:szCs w:val="20"/>
        </w:rPr>
        <w:lastRenderedPageBreak/>
        <w:t xml:space="preserve">To some extent, this apparent narrowing of the gap at the grade 7/A threshold </w:t>
      </w:r>
      <w:r w:rsidR="008B0C8D" w:rsidRPr="00EA6B18">
        <w:rPr>
          <w:rFonts w:eastAsia="Times New Roman"/>
          <w:sz w:val="20"/>
          <w:szCs w:val="20"/>
        </w:rPr>
        <w:t xml:space="preserve">may </w:t>
      </w:r>
      <w:r w:rsidRPr="00EA6B18">
        <w:rPr>
          <w:rFonts w:eastAsia="Times New Roman"/>
          <w:sz w:val="20"/>
          <w:szCs w:val="20"/>
        </w:rPr>
        <w:t xml:space="preserve">simply </w:t>
      </w:r>
      <w:r w:rsidR="008B0C8D" w:rsidRPr="00EA6B18">
        <w:rPr>
          <w:rFonts w:eastAsia="Times New Roman"/>
          <w:sz w:val="20"/>
          <w:szCs w:val="20"/>
        </w:rPr>
        <w:t>be explained by the fact th</w:t>
      </w:r>
      <w:r w:rsidRPr="00EA6B18">
        <w:rPr>
          <w:rFonts w:eastAsia="Times New Roman"/>
          <w:sz w:val="20"/>
          <w:szCs w:val="20"/>
        </w:rPr>
        <w:t>at these are threshold measures</w:t>
      </w:r>
      <w:r w:rsidR="00870D79" w:rsidRPr="00EA6B18">
        <w:rPr>
          <w:rFonts w:eastAsia="Times New Roman"/>
          <w:sz w:val="20"/>
          <w:szCs w:val="20"/>
        </w:rPr>
        <w:t>, however</w:t>
      </w:r>
      <w:r w:rsidR="008B0C8D" w:rsidRPr="00EA6B18">
        <w:rPr>
          <w:rFonts w:eastAsia="Times New Roman"/>
          <w:sz w:val="20"/>
          <w:szCs w:val="20"/>
        </w:rPr>
        <w:t xml:space="preserve">. Threshold measures are always susceptible to apparent </w:t>
      </w:r>
      <w:r w:rsidR="008B0C8D" w:rsidRPr="00EA6B18">
        <w:rPr>
          <w:rFonts w:eastAsia="Times New Roman"/>
          <w:i/>
          <w:sz w:val="20"/>
          <w:szCs w:val="20"/>
        </w:rPr>
        <w:t>closings of the gap</w:t>
      </w:r>
      <w:r w:rsidR="008B0C8D" w:rsidRPr="00EA6B18">
        <w:rPr>
          <w:sz w:val="20"/>
          <w:szCs w:val="20"/>
        </w:rPr>
        <w:t xml:space="preserve"> – a</w:t>
      </w:r>
      <w:r w:rsidR="003A3F37" w:rsidRPr="00EA6B18">
        <w:rPr>
          <w:sz w:val="20"/>
          <w:szCs w:val="20"/>
        </w:rPr>
        <w:t xml:space="preserve">s there tend to be more pupils </w:t>
      </w:r>
      <w:r w:rsidR="00870D79" w:rsidRPr="00EA6B18">
        <w:rPr>
          <w:sz w:val="20"/>
          <w:szCs w:val="20"/>
        </w:rPr>
        <w:t xml:space="preserve">who start off just below the threshold </w:t>
      </w:r>
      <w:r w:rsidR="003A3F37" w:rsidRPr="00EA6B18">
        <w:rPr>
          <w:sz w:val="20"/>
          <w:szCs w:val="20"/>
        </w:rPr>
        <w:t>in the group with lower performance</w:t>
      </w:r>
      <w:r w:rsidR="00870D79" w:rsidRPr="00EA6B18">
        <w:rPr>
          <w:sz w:val="20"/>
          <w:szCs w:val="20"/>
        </w:rPr>
        <w:t xml:space="preserve"> (boys, in this case).</w:t>
      </w:r>
    </w:p>
    <w:p w14:paraId="30ECE7FE" w14:textId="12D3E9C9" w:rsidR="00393FE8" w:rsidRPr="00EA6B18" w:rsidRDefault="003A3F37">
      <w:pPr>
        <w:spacing w:after="160" w:line="259" w:lineRule="auto"/>
        <w:rPr>
          <w:sz w:val="20"/>
          <w:szCs w:val="20"/>
        </w:rPr>
      </w:pPr>
      <w:r w:rsidRPr="00EA6B18">
        <w:rPr>
          <w:sz w:val="20"/>
          <w:szCs w:val="20"/>
        </w:rPr>
        <w:t>Looking at the trend in average point scores – where the gap of 0.46 of a grade in 2018 matches that seen in 2010</w:t>
      </w:r>
      <w:r w:rsidR="00FE118E" w:rsidRPr="00EA6B18">
        <w:rPr>
          <w:sz w:val="20"/>
          <w:szCs w:val="20"/>
        </w:rPr>
        <w:t xml:space="preserve"> </w:t>
      </w:r>
      <w:r w:rsidR="00870D79" w:rsidRPr="00EA6B18">
        <w:rPr>
          <w:sz w:val="20"/>
          <w:szCs w:val="20"/>
        </w:rPr>
        <w:t xml:space="preserve">– perhaps </w:t>
      </w:r>
      <w:r w:rsidR="00FE118E" w:rsidRPr="00EA6B18">
        <w:rPr>
          <w:sz w:val="20"/>
          <w:szCs w:val="20"/>
        </w:rPr>
        <w:t>suggests the gender gap that existed in 2018 is fairly similar to that observed in</w:t>
      </w:r>
      <w:r w:rsidR="00870D79" w:rsidRPr="00EA6B18">
        <w:rPr>
          <w:sz w:val="20"/>
          <w:szCs w:val="20"/>
        </w:rPr>
        <w:t xml:space="preserve"> 2010 across the ability range,</w:t>
      </w:r>
      <w:r w:rsidR="00FE118E" w:rsidRPr="00EA6B18">
        <w:rPr>
          <w:sz w:val="20"/>
          <w:szCs w:val="20"/>
        </w:rPr>
        <w:t xml:space="preserve"> but lower than that seen in all of the intervening years.</w:t>
      </w:r>
    </w:p>
    <w:p w14:paraId="096FC574" w14:textId="1D4D225C" w:rsidR="003B78CE" w:rsidRDefault="003F0436" w:rsidP="003B78CE">
      <w:pPr>
        <w:pStyle w:val="Heading3"/>
        <w:contextualSpacing/>
        <w:rPr>
          <w:rFonts w:ascii="Calibri" w:eastAsia="Times New Roman" w:hAnsi="Calibri" w:cs="Calibri"/>
          <w:sz w:val="20"/>
          <w:szCs w:val="20"/>
        </w:rPr>
      </w:pPr>
      <w:bookmarkStart w:id="11" w:name="_Toc20304767"/>
      <w:r w:rsidRPr="00EA6B18">
        <w:rPr>
          <w:rFonts w:ascii="Calibri" w:eastAsia="Times New Roman" w:hAnsi="Calibri" w:cs="Calibri"/>
          <w:sz w:val="20"/>
          <w:szCs w:val="20"/>
        </w:rPr>
        <w:t>3.</w:t>
      </w:r>
      <w:r w:rsidR="003B78CE" w:rsidRPr="00EA6B18">
        <w:rPr>
          <w:rFonts w:ascii="Calibri" w:eastAsia="Times New Roman" w:hAnsi="Calibri" w:cs="Calibri"/>
          <w:sz w:val="20"/>
          <w:szCs w:val="20"/>
        </w:rPr>
        <w:t>2 Disadvantage</w:t>
      </w:r>
      <w:bookmarkEnd w:id="11"/>
    </w:p>
    <w:p w14:paraId="7320B600" w14:textId="77777777" w:rsidR="00EA6B18" w:rsidRPr="00EA6B18" w:rsidRDefault="00EA6B18" w:rsidP="00EA6B18"/>
    <w:p w14:paraId="2AD0C045" w14:textId="49F2629D" w:rsidR="006903D9" w:rsidRPr="00EA6B18" w:rsidRDefault="00393FE8">
      <w:pPr>
        <w:spacing w:after="160" w:line="259" w:lineRule="auto"/>
        <w:rPr>
          <w:rFonts w:eastAsia="Times New Roman"/>
          <w:sz w:val="20"/>
          <w:szCs w:val="20"/>
        </w:rPr>
      </w:pPr>
      <w:r w:rsidRPr="00EA6B18">
        <w:rPr>
          <w:rFonts w:eastAsia="Times New Roman"/>
          <w:sz w:val="20"/>
          <w:szCs w:val="20"/>
        </w:rPr>
        <w:t xml:space="preserve">GCSE geography entries are lower for disadvantaged pupils (those who have not been eligible for free school meals at any point in the last six years) than for non-disadvantaged pupils. This gap has narrowed, however – </w:t>
      </w:r>
      <w:r w:rsidR="00A91EFF" w:rsidRPr="00EA6B18">
        <w:rPr>
          <w:rFonts w:eastAsia="Times New Roman"/>
          <w:sz w:val="20"/>
          <w:szCs w:val="20"/>
        </w:rPr>
        <w:t>from a high</w:t>
      </w:r>
      <w:r w:rsidRPr="00EA6B18">
        <w:rPr>
          <w:rFonts w:eastAsia="Times New Roman"/>
          <w:sz w:val="20"/>
          <w:szCs w:val="20"/>
        </w:rPr>
        <w:t xml:space="preserve"> of 1</w:t>
      </w:r>
      <w:r w:rsidR="00934F4D" w:rsidRPr="00EA6B18">
        <w:rPr>
          <w:rFonts w:eastAsia="Times New Roman"/>
          <w:sz w:val="20"/>
          <w:szCs w:val="20"/>
        </w:rPr>
        <w:t>4</w:t>
      </w:r>
      <w:r w:rsidRPr="00EA6B18">
        <w:rPr>
          <w:rFonts w:eastAsia="Times New Roman"/>
          <w:sz w:val="20"/>
          <w:szCs w:val="20"/>
        </w:rPr>
        <w:t>.</w:t>
      </w:r>
      <w:r w:rsidR="00934F4D" w:rsidRPr="00EA6B18">
        <w:rPr>
          <w:rFonts w:eastAsia="Times New Roman"/>
          <w:sz w:val="20"/>
          <w:szCs w:val="20"/>
        </w:rPr>
        <w:t>4</w:t>
      </w:r>
      <w:r w:rsidRPr="00EA6B18">
        <w:rPr>
          <w:rFonts w:eastAsia="Times New Roman"/>
          <w:sz w:val="20"/>
          <w:szCs w:val="20"/>
        </w:rPr>
        <w:t xml:space="preserve"> percentage points in 201</w:t>
      </w:r>
      <w:r w:rsidR="00A91EFF" w:rsidRPr="00EA6B18">
        <w:rPr>
          <w:rFonts w:eastAsia="Times New Roman"/>
          <w:sz w:val="20"/>
          <w:szCs w:val="20"/>
        </w:rPr>
        <w:t>3</w:t>
      </w:r>
      <w:r w:rsidR="00934F4D" w:rsidRPr="00EA6B18">
        <w:rPr>
          <w:rFonts w:eastAsia="Times New Roman"/>
          <w:sz w:val="20"/>
          <w:szCs w:val="20"/>
        </w:rPr>
        <w:t xml:space="preserve"> and 2015</w:t>
      </w:r>
      <w:r w:rsidRPr="00EA6B18">
        <w:rPr>
          <w:rFonts w:eastAsia="Times New Roman"/>
          <w:sz w:val="20"/>
          <w:szCs w:val="20"/>
        </w:rPr>
        <w:t xml:space="preserve">, to </w:t>
      </w:r>
      <w:r w:rsidR="00934F4D" w:rsidRPr="00EA6B18">
        <w:rPr>
          <w:rFonts w:eastAsia="Times New Roman"/>
          <w:sz w:val="20"/>
          <w:szCs w:val="20"/>
        </w:rPr>
        <w:t>11.1</w:t>
      </w:r>
      <w:r w:rsidRPr="00EA6B18">
        <w:rPr>
          <w:rFonts w:eastAsia="Times New Roman"/>
          <w:sz w:val="20"/>
          <w:szCs w:val="20"/>
        </w:rPr>
        <w:t xml:space="preserve"> percentage points in 2018</w:t>
      </w:r>
      <w:r w:rsidR="006903D9" w:rsidRPr="00EA6B18">
        <w:rPr>
          <w:rFonts w:eastAsia="Times New Roman"/>
          <w:sz w:val="20"/>
          <w:szCs w:val="20"/>
        </w:rPr>
        <w:t>.</w:t>
      </w:r>
    </w:p>
    <w:p w14:paraId="5D4F5782" w14:textId="77777777" w:rsidR="006903D9" w:rsidRPr="00EA6B18" w:rsidRDefault="00393FE8">
      <w:pPr>
        <w:spacing w:after="160" w:line="259" w:lineRule="auto"/>
        <w:rPr>
          <w:rFonts w:eastAsia="Times New Roman"/>
          <w:sz w:val="20"/>
          <w:szCs w:val="20"/>
        </w:rPr>
      </w:pPr>
      <w:r w:rsidRPr="00EA6B18">
        <w:rPr>
          <w:rFonts w:eastAsia="Times New Roman"/>
          <w:sz w:val="20"/>
          <w:szCs w:val="20"/>
        </w:rPr>
        <w:t xml:space="preserve">This narrowing has happened from 2016 onwards – when the introduction of the Progress 8 performance measure gave schools a strong incentive to enter </w:t>
      </w:r>
      <w:r w:rsidR="006903D9" w:rsidRPr="00EA6B18">
        <w:rPr>
          <w:rFonts w:eastAsia="Times New Roman"/>
          <w:sz w:val="20"/>
          <w:szCs w:val="20"/>
        </w:rPr>
        <w:t>pupils for English Baccalaureate subjects.</w:t>
      </w:r>
    </w:p>
    <w:p w14:paraId="2F25C037" w14:textId="0054487D" w:rsidR="006903D9" w:rsidRPr="00EA6B18" w:rsidRDefault="006903D9">
      <w:pPr>
        <w:spacing w:after="160" w:line="259" w:lineRule="auto"/>
        <w:rPr>
          <w:sz w:val="20"/>
          <w:szCs w:val="20"/>
        </w:rPr>
      </w:pPr>
      <w:r w:rsidRPr="00EA6B18">
        <w:rPr>
          <w:rFonts w:eastAsia="Times New Roman"/>
          <w:sz w:val="20"/>
          <w:szCs w:val="20"/>
        </w:rPr>
        <w:t xml:space="preserve">Entries from those for whom no disadvantage information is available (who will almost exclusively be in the independent sector) have fallen for much of the period looked at, before reversing this trend a little in 2018 – something that </w:t>
      </w:r>
      <w:r w:rsidRPr="00EA6B18">
        <w:rPr>
          <w:sz w:val="20"/>
          <w:szCs w:val="20"/>
        </w:rPr>
        <w:t xml:space="preserve">may be explained by independent schools returning to the GCSE from </w:t>
      </w:r>
      <w:r w:rsidR="005F5D1E" w:rsidRPr="00EA6B18">
        <w:rPr>
          <w:sz w:val="20"/>
          <w:szCs w:val="20"/>
        </w:rPr>
        <w:t xml:space="preserve">unregulated </w:t>
      </w:r>
      <w:r w:rsidRPr="00EA6B18">
        <w:rPr>
          <w:sz w:val="20"/>
          <w:szCs w:val="20"/>
        </w:rPr>
        <w:t>international GCSEs, with the introduction of the reformed, 9-1 GCSE.</w:t>
      </w:r>
    </w:p>
    <w:p w14:paraId="70645618" w14:textId="15740EF6" w:rsidR="00393FE8" w:rsidRPr="00EA6B18" w:rsidRDefault="005F5D1E">
      <w:pPr>
        <w:spacing w:after="160" w:line="259" w:lineRule="auto"/>
        <w:rPr>
          <w:rFonts w:eastAsia="Times New Roman"/>
          <w:color w:val="72003E" w:themeColor="accent1" w:themeShade="7F"/>
          <w:sz w:val="20"/>
          <w:szCs w:val="20"/>
        </w:rPr>
      </w:pPr>
      <w:r w:rsidRPr="00EA6B18">
        <w:rPr>
          <w:sz w:val="20"/>
          <w:szCs w:val="20"/>
        </w:rPr>
        <w:t>D</w:t>
      </w:r>
      <w:r w:rsidR="006903D9" w:rsidRPr="00EA6B18">
        <w:rPr>
          <w:sz w:val="20"/>
          <w:szCs w:val="20"/>
        </w:rPr>
        <w:t>isadvantage gap</w:t>
      </w:r>
      <w:r w:rsidRPr="00EA6B18">
        <w:rPr>
          <w:sz w:val="20"/>
          <w:szCs w:val="20"/>
        </w:rPr>
        <w:t>s</w:t>
      </w:r>
      <w:r w:rsidR="006903D9" w:rsidRPr="00EA6B18">
        <w:rPr>
          <w:sz w:val="20"/>
          <w:szCs w:val="20"/>
        </w:rPr>
        <w:t xml:space="preserve"> in attainment </w:t>
      </w:r>
      <w:r w:rsidRPr="00EA6B18">
        <w:rPr>
          <w:sz w:val="20"/>
          <w:szCs w:val="20"/>
        </w:rPr>
        <w:t xml:space="preserve">at both </w:t>
      </w:r>
      <w:r w:rsidR="006903D9" w:rsidRPr="00EA6B18">
        <w:rPr>
          <w:sz w:val="20"/>
          <w:szCs w:val="20"/>
        </w:rPr>
        <w:t>the grade 7/A or above</w:t>
      </w:r>
      <w:r w:rsidRPr="00EA6B18">
        <w:rPr>
          <w:sz w:val="20"/>
          <w:szCs w:val="20"/>
        </w:rPr>
        <w:t xml:space="preserve"> and </w:t>
      </w:r>
      <w:r w:rsidR="006903D9" w:rsidRPr="00EA6B18">
        <w:rPr>
          <w:sz w:val="20"/>
          <w:szCs w:val="20"/>
        </w:rPr>
        <w:t>the grade 4/C or above threshold</w:t>
      </w:r>
      <w:r w:rsidRPr="00EA6B18">
        <w:rPr>
          <w:sz w:val="20"/>
          <w:szCs w:val="20"/>
        </w:rPr>
        <w:t>s</w:t>
      </w:r>
      <w:r w:rsidR="006903D9" w:rsidRPr="00EA6B18">
        <w:rPr>
          <w:sz w:val="20"/>
          <w:szCs w:val="20"/>
        </w:rPr>
        <w:t xml:space="preserve"> </w:t>
      </w:r>
      <w:r w:rsidRPr="00EA6B18">
        <w:rPr>
          <w:sz w:val="20"/>
          <w:szCs w:val="20"/>
        </w:rPr>
        <w:t xml:space="preserve">had narrowed to some extent </w:t>
      </w:r>
      <w:r w:rsidR="006903D9" w:rsidRPr="00EA6B18">
        <w:rPr>
          <w:sz w:val="20"/>
          <w:szCs w:val="20"/>
        </w:rPr>
        <w:t>in the years up to 2015</w:t>
      </w:r>
      <w:r w:rsidRPr="00EA6B18">
        <w:rPr>
          <w:sz w:val="20"/>
          <w:szCs w:val="20"/>
        </w:rPr>
        <w:t xml:space="preserve">, but have </w:t>
      </w:r>
      <w:r w:rsidR="006903D9" w:rsidRPr="00EA6B18">
        <w:rPr>
          <w:sz w:val="20"/>
          <w:szCs w:val="20"/>
        </w:rPr>
        <w:t>sub</w:t>
      </w:r>
      <w:r w:rsidRPr="00EA6B18">
        <w:rPr>
          <w:sz w:val="20"/>
          <w:szCs w:val="20"/>
        </w:rPr>
        <w:t xml:space="preserve">sequently widened </w:t>
      </w:r>
      <w:r w:rsidR="006903D9" w:rsidRPr="00EA6B18">
        <w:rPr>
          <w:sz w:val="20"/>
          <w:szCs w:val="20"/>
        </w:rPr>
        <w:t>as more disadvantaged pupils have taken geography GCSE</w:t>
      </w:r>
      <w:r w:rsidR="007C7B3C" w:rsidRPr="00EA6B18">
        <w:rPr>
          <w:sz w:val="20"/>
          <w:szCs w:val="20"/>
        </w:rPr>
        <w:t>, standing at 34.6 and 27.3 percentage points respectively in 2018</w:t>
      </w:r>
      <w:r w:rsidR="006903D9" w:rsidRPr="00EA6B18">
        <w:rPr>
          <w:sz w:val="20"/>
          <w:szCs w:val="20"/>
        </w:rPr>
        <w:t>.</w:t>
      </w:r>
    </w:p>
    <w:p w14:paraId="37876388" w14:textId="11814329" w:rsidR="003B78CE" w:rsidRDefault="003F0436" w:rsidP="003B78CE">
      <w:pPr>
        <w:pStyle w:val="Heading3"/>
        <w:contextualSpacing/>
        <w:rPr>
          <w:rFonts w:ascii="Calibri" w:eastAsia="Times New Roman" w:hAnsi="Calibri" w:cs="Calibri"/>
          <w:sz w:val="20"/>
          <w:szCs w:val="20"/>
        </w:rPr>
      </w:pPr>
      <w:bookmarkStart w:id="12" w:name="_Toc20304768"/>
      <w:r w:rsidRPr="00EA6B18">
        <w:rPr>
          <w:rFonts w:ascii="Calibri" w:eastAsia="Times New Roman" w:hAnsi="Calibri" w:cs="Calibri"/>
          <w:sz w:val="20"/>
          <w:szCs w:val="20"/>
        </w:rPr>
        <w:t>3.</w:t>
      </w:r>
      <w:r w:rsidR="003B78CE" w:rsidRPr="00EA6B18">
        <w:rPr>
          <w:rFonts w:ascii="Calibri" w:eastAsia="Times New Roman" w:hAnsi="Calibri" w:cs="Calibri"/>
          <w:sz w:val="20"/>
          <w:szCs w:val="20"/>
        </w:rPr>
        <w:t>3 Ethnicity</w:t>
      </w:r>
      <w:bookmarkEnd w:id="12"/>
    </w:p>
    <w:p w14:paraId="48F310DD" w14:textId="77777777" w:rsidR="00EA6B18" w:rsidRPr="00EA6B18" w:rsidRDefault="00EA6B18" w:rsidP="00EA6B18"/>
    <w:p w14:paraId="54F477E2" w14:textId="77777777" w:rsidR="006903D9" w:rsidRPr="00EA6B18" w:rsidRDefault="006903D9">
      <w:pPr>
        <w:spacing w:after="160" w:line="259" w:lineRule="auto"/>
        <w:rPr>
          <w:rFonts w:eastAsia="Times New Roman"/>
          <w:sz w:val="20"/>
          <w:szCs w:val="20"/>
        </w:rPr>
      </w:pPr>
      <w:r w:rsidRPr="00EA6B18">
        <w:rPr>
          <w:rFonts w:eastAsia="Times New Roman"/>
          <w:sz w:val="20"/>
          <w:szCs w:val="20"/>
        </w:rPr>
        <w:t>Analysed by ethnicity, there are some clear differences in entries and attainment.</w:t>
      </w:r>
    </w:p>
    <w:p w14:paraId="3391DD61" w14:textId="5B11DB00" w:rsidR="006903D9" w:rsidRPr="00EA6B18" w:rsidRDefault="000A13D9">
      <w:pPr>
        <w:spacing w:after="160" w:line="259" w:lineRule="auto"/>
        <w:rPr>
          <w:rFonts w:eastAsia="Times New Roman"/>
          <w:sz w:val="20"/>
          <w:szCs w:val="20"/>
        </w:rPr>
      </w:pPr>
      <w:r w:rsidRPr="00EA6B18">
        <w:rPr>
          <w:rFonts w:eastAsia="Times New Roman"/>
          <w:sz w:val="20"/>
          <w:szCs w:val="20"/>
        </w:rPr>
        <w:t>Those of</w:t>
      </w:r>
      <w:r w:rsidR="006903D9" w:rsidRPr="00EA6B18">
        <w:rPr>
          <w:rFonts w:eastAsia="Times New Roman"/>
          <w:sz w:val="20"/>
          <w:szCs w:val="20"/>
        </w:rPr>
        <w:t xml:space="preserve"> Chinese </w:t>
      </w:r>
      <w:r w:rsidRPr="00EA6B18">
        <w:rPr>
          <w:rFonts w:eastAsia="Times New Roman"/>
          <w:sz w:val="20"/>
          <w:szCs w:val="20"/>
        </w:rPr>
        <w:t>ethnicity</w:t>
      </w:r>
      <w:r w:rsidR="006903D9" w:rsidRPr="00EA6B18">
        <w:rPr>
          <w:rFonts w:eastAsia="Times New Roman"/>
          <w:sz w:val="20"/>
          <w:szCs w:val="20"/>
        </w:rPr>
        <w:t xml:space="preserve"> have the highest entry rate into geography GCSE – most likely reflecting that this is a high attaining group, who are more likely to be (and always have been) taking academic subjects such as those </w:t>
      </w:r>
      <w:r w:rsidR="007C7B3C" w:rsidRPr="00EA6B18">
        <w:rPr>
          <w:rFonts w:eastAsia="Times New Roman"/>
          <w:sz w:val="20"/>
          <w:szCs w:val="20"/>
        </w:rPr>
        <w:t>which</w:t>
      </w:r>
      <w:r w:rsidR="006903D9" w:rsidRPr="00EA6B18">
        <w:rPr>
          <w:rFonts w:eastAsia="Times New Roman"/>
          <w:sz w:val="20"/>
          <w:szCs w:val="20"/>
        </w:rPr>
        <w:t xml:space="preserve"> count in the English Baccalaureate.</w:t>
      </w:r>
    </w:p>
    <w:p w14:paraId="45849F42" w14:textId="3E6DA972" w:rsidR="00393FE8" w:rsidRPr="00EA6B18" w:rsidRDefault="000A13D9">
      <w:pPr>
        <w:spacing w:after="160" w:line="259" w:lineRule="auto"/>
        <w:rPr>
          <w:rFonts w:eastAsia="Times New Roman"/>
          <w:color w:val="72003E" w:themeColor="accent1" w:themeShade="7F"/>
          <w:sz w:val="20"/>
          <w:szCs w:val="20"/>
        </w:rPr>
      </w:pPr>
      <w:r w:rsidRPr="00EA6B18">
        <w:rPr>
          <w:rFonts w:eastAsia="Times New Roman"/>
          <w:sz w:val="20"/>
          <w:szCs w:val="20"/>
        </w:rPr>
        <w:t>W</w:t>
      </w:r>
      <w:r w:rsidR="00EB567C" w:rsidRPr="00EA6B18">
        <w:rPr>
          <w:rFonts w:eastAsia="Times New Roman"/>
          <w:sz w:val="20"/>
          <w:szCs w:val="20"/>
        </w:rPr>
        <w:t>ith the exception of the Chinese group and the group for whom ethnicity data is not available (who will almost exclusively be in the independent sector), the only group with notably different levels of attainment to other groups is the black/black British group. Again, this reflects a picture that exists in other subjects</w:t>
      </w:r>
      <w:r w:rsidRPr="00EA6B18">
        <w:rPr>
          <w:rFonts w:eastAsia="Times New Roman"/>
          <w:sz w:val="20"/>
          <w:szCs w:val="20"/>
        </w:rPr>
        <w:t>, and is in part explained by higher levels of disadvantage for black/black British pupils</w:t>
      </w:r>
      <w:r w:rsidR="00934F4D" w:rsidRPr="00EA6B18">
        <w:rPr>
          <w:rFonts w:eastAsia="Times New Roman"/>
          <w:sz w:val="20"/>
          <w:szCs w:val="20"/>
        </w:rPr>
        <w:t>.</w:t>
      </w:r>
    </w:p>
    <w:p w14:paraId="466610D8" w14:textId="4E90F1F4" w:rsidR="003B78CE" w:rsidRDefault="003F0436" w:rsidP="003B78CE">
      <w:pPr>
        <w:pStyle w:val="Heading3"/>
        <w:contextualSpacing/>
        <w:rPr>
          <w:rFonts w:ascii="Calibri" w:eastAsia="Times New Roman" w:hAnsi="Calibri" w:cs="Calibri"/>
          <w:sz w:val="20"/>
          <w:szCs w:val="20"/>
        </w:rPr>
      </w:pPr>
      <w:bookmarkStart w:id="13" w:name="_Toc20304769"/>
      <w:r w:rsidRPr="00EA6B18">
        <w:rPr>
          <w:rFonts w:ascii="Calibri" w:eastAsia="Times New Roman" w:hAnsi="Calibri" w:cs="Calibri"/>
          <w:sz w:val="20"/>
          <w:szCs w:val="20"/>
        </w:rPr>
        <w:t>3.</w:t>
      </w:r>
      <w:r w:rsidR="003B78CE" w:rsidRPr="00EA6B18">
        <w:rPr>
          <w:rFonts w:ascii="Calibri" w:eastAsia="Times New Roman" w:hAnsi="Calibri" w:cs="Calibri"/>
          <w:sz w:val="20"/>
          <w:szCs w:val="20"/>
        </w:rPr>
        <w:t>4 Prior attainment</w:t>
      </w:r>
      <w:bookmarkEnd w:id="13"/>
    </w:p>
    <w:p w14:paraId="2FDAD9A9" w14:textId="77777777" w:rsidR="00EA6B18" w:rsidRPr="00EA6B18" w:rsidRDefault="00EA6B18" w:rsidP="00EA6B18"/>
    <w:p w14:paraId="59AD9422" w14:textId="28FCD953" w:rsidR="00EB567C" w:rsidRPr="00EA6B18" w:rsidRDefault="00EB567C" w:rsidP="003B78CE">
      <w:pPr>
        <w:rPr>
          <w:sz w:val="20"/>
          <w:szCs w:val="20"/>
        </w:rPr>
      </w:pPr>
      <w:r w:rsidRPr="00EA6B18">
        <w:rPr>
          <w:sz w:val="20"/>
          <w:szCs w:val="20"/>
        </w:rPr>
        <w:t xml:space="preserve">Prior attainment is a strong predictor </w:t>
      </w:r>
      <w:r w:rsidR="007C7B3C" w:rsidRPr="00EA6B18">
        <w:rPr>
          <w:sz w:val="20"/>
          <w:szCs w:val="20"/>
        </w:rPr>
        <w:t xml:space="preserve">both </w:t>
      </w:r>
      <w:r w:rsidRPr="00EA6B18">
        <w:rPr>
          <w:sz w:val="20"/>
          <w:szCs w:val="20"/>
        </w:rPr>
        <w:t>of pupils’ likelihood of studying geography at GCSE and their subsequent attainment.</w:t>
      </w:r>
    </w:p>
    <w:p w14:paraId="770FA510" w14:textId="0B080147" w:rsidR="00EB567C" w:rsidRPr="00EA6B18" w:rsidRDefault="00EB567C" w:rsidP="003B78CE">
      <w:pPr>
        <w:rPr>
          <w:sz w:val="20"/>
          <w:szCs w:val="20"/>
        </w:rPr>
      </w:pPr>
    </w:p>
    <w:p w14:paraId="4BA2B6EC" w14:textId="1FF88420" w:rsidR="00EB567C" w:rsidRPr="00EA6B18" w:rsidRDefault="00EB567C" w:rsidP="003B78CE">
      <w:pPr>
        <w:rPr>
          <w:sz w:val="20"/>
          <w:szCs w:val="20"/>
        </w:rPr>
      </w:pPr>
      <w:r w:rsidRPr="00EA6B18">
        <w:rPr>
          <w:sz w:val="20"/>
          <w:szCs w:val="20"/>
        </w:rPr>
        <w:t xml:space="preserve">The percentage of pupils with </w:t>
      </w:r>
      <w:r w:rsidR="000A1593" w:rsidRPr="00EA6B18">
        <w:rPr>
          <w:sz w:val="20"/>
          <w:szCs w:val="20"/>
        </w:rPr>
        <w:t xml:space="preserve">Key Stage 2 </w:t>
      </w:r>
      <w:r w:rsidRPr="00EA6B18">
        <w:rPr>
          <w:sz w:val="20"/>
          <w:szCs w:val="20"/>
        </w:rPr>
        <w:t xml:space="preserve">attainment below Level 4 </w:t>
      </w:r>
      <w:r w:rsidR="000A1593" w:rsidRPr="00EA6B18">
        <w:rPr>
          <w:sz w:val="20"/>
          <w:szCs w:val="20"/>
        </w:rPr>
        <w:t xml:space="preserve">stood at </w:t>
      </w:r>
      <w:r w:rsidRPr="00EA6B18">
        <w:rPr>
          <w:sz w:val="20"/>
          <w:szCs w:val="20"/>
        </w:rPr>
        <w:t>1</w:t>
      </w:r>
      <w:r w:rsidR="00934F4D" w:rsidRPr="00EA6B18">
        <w:rPr>
          <w:sz w:val="20"/>
          <w:szCs w:val="20"/>
        </w:rPr>
        <w:t>2</w:t>
      </w:r>
      <w:r w:rsidRPr="00EA6B18">
        <w:rPr>
          <w:sz w:val="20"/>
          <w:szCs w:val="20"/>
        </w:rPr>
        <w:t>.2% entry rate</w:t>
      </w:r>
      <w:r w:rsidR="000A1593" w:rsidRPr="00EA6B18">
        <w:rPr>
          <w:sz w:val="20"/>
          <w:szCs w:val="20"/>
        </w:rPr>
        <w:t xml:space="preserve"> in 2010</w:t>
      </w:r>
      <w:r w:rsidRPr="00EA6B18">
        <w:rPr>
          <w:sz w:val="20"/>
          <w:szCs w:val="20"/>
        </w:rPr>
        <w:t xml:space="preserve">. </w:t>
      </w:r>
      <w:r w:rsidR="00EB0F25" w:rsidRPr="00EA6B18">
        <w:rPr>
          <w:sz w:val="20"/>
          <w:szCs w:val="20"/>
        </w:rPr>
        <w:t xml:space="preserve">This had been increasing up to 2015 – but then was boosted considerably with the introduction of Progress 8. </w:t>
      </w:r>
      <w:r w:rsidRPr="00EA6B18">
        <w:rPr>
          <w:sz w:val="20"/>
          <w:szCs w:val="20"/>
        </w:rPr>
        <w:t xml:space="preserve">A similar, though slightly less dramatic, </w:t>
      </w:r>
      <w:r w:rsidR="00EB0F25" w:rsidRPr="00EA6B18">
        <w:rPr>
          <w:sz w:val="20"/>
          <w:szCs w:val="20"/>
        </w:rPr>
        <w:t>trend is also true of those with prior attainment at Level 4.</w:t>
      </w:r>
    </w:p>
    <w:p w14:paraId="7DA08F4E" w14:textId="6028329C" w:rsidR="00EB567C" w:rsidRPr="00EA6B18" w:rsidRDefault="00EB567C" w:rsidP="003B78CE">
      <w:pPr>
        <w:rPr>
          <w:sz w:val="20"/>
          <w:szCs w:val="20"/>
        </w:rPr>
      </w:pPr>
    </w:p>
    <w:p w14:paraId="012A7EBD" w14:textId="468C07EE" w:rsidR="00EB0F25" w:rsidRPr="00EA6B18" w:rsidRDefault="00EB0F25" w:rsidP="003B78CE">
      <w:pPr>
        <w:rPr>
          <w:sz w:val="20"/>
          <w:szCs w:val="20"/>
        </w:rPr>
      </w:pPr>
      <w:r w:rsidRPr="00EA6B18">
        <w:rPr>
          <w:sz w:val="20"/>
          <w:szCs w:val="20"/>
        </w:rPr>
        <w:t xml:space="preserve">The breakdown of GCSE geography attainment by prior attainment is as would </w:t>
      </w:r>
      <w:r w:rsidR="000A1712" w:rsidRPr="00EA6B18">
        <w:rPr>
          <w:sz w:val="20"/>
          <w:szCs w:val="20"/>
        </w:rPr>
        <w:t>perhaps</w:t>
      </w:r>
      <w:r w:rsidRPr="00EA6B18">
        <w:rPr>
          <w:sz w:val="20"/>
          <w:szCs w:val="20"/>
        </w:rPr>
        <w:t xml:space="preserve"> be expected, with the most notable feature being the </w:t>
      </w:r>
      <w:r w:rsidR="000A1593" w:rsidRPr="00EA6B18">
        <w:rPr>
          <w:sz w:val="20"/>
          <w:szCs w:val="20"/>
        </w:rPr>
        <w:t>fact that, despite a considerable increase in the number of pupils taking the qualification, results for the group with prior attainment below Level 4 ended the period looked at higher than they began it</w:t>
      </w:r>
      <w:r w:rsidR="00FC22B1" w:rsidRPr="00EA6B18">
        <w:rPr>
          <w:sz w:val="20"/>
          <w:szCs w:val="20"/>
        </w:rPr>
        <w:t>.</w:t>
      </w:r>
      <w:r w:rsidR="000A1593" w:rsidRPr="00EA6B18">
        <w:rPr>
          <w:sz w:val="20"/>
          <w:szCs w:val="20"/>
        </w:rPr>
        <w:t xml:space="preserve"> Average point scores for this group of 2.26 and 2.23 in 2017 and 2018 respectively were the highest seen in the period from 2010.</w:t>
      </w:r>
    </w:p>
    <w:p w14:paraId="5077D84C" w14:textId="77777777" w:rsidR="00EB567C" w:rsidRPr="00EA6B18" w:rsidRDefault="00EB567C" w:rsidP="003B78CE">
      <w:pPr>
        <w:rPr>
          <w:sz w:val="20"/>
          <w:szCs w:val="20"/>
        </w:rPr>
      </w:pPr>
    </w:p>
    <w:p w14:paraId="397242CD" w14:textId="06037E50" w:rsidR="00EB567C" w:rsidRPr="00EA6B18" w:rsidRDefault="00EB567C" w:rsidP="003B78CE">
      <w:pPr>
        <w:rPr>
          <w:sz w:val="20"/>
          <w:szCs w:val="20"/>
        </w:rPr>
      </w:pPr>
      <w:r w:rsidRPr="00EA6B18">
        <w:rPr>
          <w:sz w:val="20"/>
          <w:szCs w:val="20"/>
        </w:rPr>
        <w:lastRenderedPageBreak/>
        <w:t>Entry and attainment figures are not as high for the group for whom</w:t>
      </w:r>
      <w:r w:rsidR="00FC22B1" w:rsidRPr="00EA6B18">
        <w:rPr>
          <w:sz w:val="20"/>
          <w:szCs w:val="20"/>
        </w:rPr>
        <w:t xml:space="preserve"> characteristic</w:t>
      </w:r>
      <w:r w:rsidRPr="00EA6B18">
        <w:rPr>
          <w:sz w:val="20"/>
          <w:szCs w:val="20"/>
        </w:rPr>
        <w:t xml:space="preserve"> data is not available as is the case with other pupil characteristics being looked at, owing to the fact that those without prior attainment figures are a combination of those in independent schools</w:t>
      </w:r>
      <w:r w:rsidR="00FC22B1" w:rsidRPr="00EA6B18">
        <w:rPr>
          <w:sz w:val="20"/>
          <w:szCs w:val="20"/>
        </w:rPr>
        <w:t xml:space="preserve"> and</w:t>
      </w:r>
      <w:r w:rsidRPr="00EA6B18">
        <w:rPr>
          <w:sz w:val="20"/>
          <w:szCs w:val="20"/>
        </w:rPr>
        <w:t xml:space="preserve"> those newly arrived in</w:t>
      </w:r>
      <w:r w:rsidR="00FC22B1" w:rsidRPr="00EA6B18">
        <w:rPr>
          <w:sz w:val="20"/>
          <w:szCs w:val="20"/>
        </w:rPr>
        <w:t xml:space="preserve"> England since Year 6.</w:t>
      </w:r>
    </w:p>
    <w:p w14:paraId="0F997053" w14:textId="7D00081F" w:rsidR="00393FE8" w:rsidRPr="00EA6B18" w:rsidRDefault="00393FE8">
      <w:pPr>
        <w:spacing w:after="160" w:line="259" w:lineRule="auto"/>
        <w:rPr>
          <w:rFonts w:eastAsiaTheme="majorEastAsia"/>
          <w:color w:val="AC005D" w:themeColor="accent1" w:themeShade="BF"/>
          <w:sz w:val="20"/>
          <w:szCs w:val="20"/>
        </w:rPr>
      </w:pPr>
    </w:p>
    <w:p w14:paraId="00050FA8" w14:textId="2866A12D" w:rsidR="003B78CE" w:rsidRDefault="003F0436" w:rsidP="003B78CE">
      <w:pPr>
        <w:pStyle w:val="Heading2"/>
        <w:contextualSpacing/>
        <w:rPr>
          <w:rFonts w:ascii="Calibri" w:hAnsi="Calibri" w:cs="Calibri"/>
          <w:sz w:val="20"/>
          <w:szCs w:val="20"/>
        </w:rPr>
      </w:pPr>
      <w:bookmarkStart w:id="14" w:name="_Toc20304770"/>
      <w:r w:rsidRPr="00EA6B18">
        <w:rPr>
          <w:rFonts w:ascii="Calibri" w:hAnsi="Calibri" w:cs="Calibri"/>
          <w:sz w:val="20"/>
          <w:szCs w:val="20"/>
        </w:rPr>
        <w:t>4.</w:t>
      </w:r>
      <w:r w:rsidR="003B78CE" w:rsidRPr="00EA6B18">
        <w:rPr>
          <w:rFonts w:ascii="Calibri" w:hAnsi="Calibri" w:cs="Calibri"/>
          <w:sz w:val="20"/>
          <w:szCs w:val="20"/>
        </w:rPr>
        <w:t xml:space="preserve"> </w:t>
      </w:r>
      <w:r w:rsidR="00EB0F25" w:rsidRPr="00EA6B18">
        <w:rPr>
          <w:rFonts w:ascii="Calibri" w:hAnsi="Calibri" w:cs="Calibri"/>
          <w:sz w:val="20"/>
          <w:szCs w:val="20"/>
        </w:rPr>
        <w:t>School</w:t>
      </w:r>
      <w:r w:rsidR="003B78CE" w:rsidRPr="00EA6B18">
        <w:rPr>
          <w:rFonts w:ascii="Calibri" w:hAnsi="Calibri" w:cs="Calibri"/>
          <w:sz w:val="20"/>
          <w:szCs w:val="20"/>
        </w:rPr>
        <w:t xml:space="preserve"> characteristics</w:t>
      </w:r>
      <w:bookmarkEnd w:id="14"/>
    </w:p>
    <w:p w14:paraId="79DCE708" w14:textId="77777777" w:rsidR="00EA6B18" w:rsidRPr="00EA6B18" w:rsidRDefault="00EA6B18" w:rsidP="00EA6B18"/>
    <w:p w14:paraId="5D365501" w14:textId="114F6134" w:rsidR="003B78CE" w:rsidRPr="00EA6B18" w:rsidRDefault="003F0436" w:rsidP="003B78CE">
      <w:pPr>
        <w:pStyle w:val="Heading3"/>
        <w:contextualSpacing/>
        <w:rPr>
          <w:rFonts w:ascii="Calibri" w:eastAsia="Times New Roman" w:hAnsi="Calibri" w:cs="Calibri"/>
          <w:sz w:val="20"/>
          <w:szCs w:val="20"/>
        </w:rPr>
      </w:pPr>
      <w:bookmarkStart w:id="15" w:name="_Toc20304771"/>
      <w:r w:rsidRPr="00EA6B18">
        <w:rPr>
          <w:rFonts w:ascii="Calibri" w:eastAsia="Times New Roman" w:hAnsi="Calibri" w:cs="Calibri"/>
          <w:sz w:val="20"/>
          <w:szCs w:val="20"/>
        </w:rPr>
        <w:t>4.</w:t>
      </w:r>
      <w:r w:rsidR="003B78CE" w:rsidRPr="00EA6B18">
        <w:rPr>
          <w:rFonts w:ascii="Calibri" w:eastAsia="Times New Roman" w:hAnsi="Calibri" w:cs="Calibri"/>
          <w:sz w:val="20"/>
          <w:szCs w:val="20"/>
        </w:rPr>
        <w:t>1 Region</w:t>
      </w:r>
      <w:bookmarkEnd w:id="15"/>
    </w:p>
    <w:p w14:paraId="426308B2" w14:textId="77777777" w:rsidR="000A4D2D" w:rsidRPr="00EA6B18" w:rsidRDefault="000A4D2D">
      <w:pPr>
        <w:spacing w:after="160" w:line="259" w:lineRule="auto"/>
        <w:rPr>
          <w:rFonts w:eastAsia="Times New Roman"/>
          <w:sz w:val="20"/>
          <w:szCs w:val="20"/>
        </w:rPr>
      </w:pPr>
      <w:r w:rsidRPr="00EA6B18">
        <w:rPr>
          <w:rFonts w:eastAsia="Times New Roman"/>
          <w:sz w:val="20"/>
          <w:szCs w:val="20"/>
        </w:rPr>
        <w:t>Entry rates have equalised a little when broken down by region, with the overall growth in entries post-2015 at least one factor in this.</w:t>
      </w:r>
    </w:p>
    <w:p w14:paraId="480F6F3A" w14:textId="77777777" w:rsidR="000A4D2D" w:rsidRPr="00EA6B18" w:rsidRDefault="000A4D2D">
      <w:pPr>
        <w:spacing w:after="160" w:line="259" w:lineRule="auto"/>
        <w:rPr>
          <w:rFonts w:eastAsia="Times New Roman"/>
          <w:sz w:val="20"/>
          <w:szCs w:val="20"/>
        </w:rPr>
      </w:pPr>
      <w:r w:rsidRPr="00EA6B18">
        <w:rPr>
          <w:rFonts w:eastAsia="Times New Roman"/>
          <w:sz w:val="20"/>
          <w:szCs w:val="20"/>
        </w:rPr>
        <w:t>When attainment is considered, the most notable trend is the separation of the regions into two distinct groups, with London, the south east, the south west and the east of England having attainment at least some way above that of all other regions in the years from 2016 onwards.</w:t>
      </w:r>
    </w:p>
    <w:p w14:paraId="26239434" w14:textId="587588AD" w:rsidR="00393FE8" w:rsidRPr="00EA6B18" w:rsidRDefault="000A4D2D">
      <w:pPr>
        <w:spacing w:after="160" w:line="259" w:lineRule="auto"/>
        <w:rPr>
          <w:rFonts w:eastAsia="Times New Roman"/>
          <w:sz w:val="20"/>
          <w:szCs w:val="20"/>
        </w:rPr>
      </w:pPr>
      <w:r w:rsidRPr="00EA6B18">
        <w:rPr>
          <w:rFonts w:eastAsia="Times New Roman"/>
          <w:sz w:val="20"/>
          <w:szCs w:val="20"/>
        </w:rPr>
        <w:t xml:space="preserve">In the case of the south east, the south west and the east of England, these were </w:t>
      </w:r>
      <w:r w:rsidR="00D17BB9" w:rsidRPr="00EA6B18">
        <w:rPr>
          <w:rFonts w:eastAsia="Times New Roman"/>
          <w:sz w:val="20"/>
          <w:szCs w:val="20"/>
        </w:rPr>
        <w:t xml:space="preserve">regions that started with higher levels of entry in 2010 – so there may have been less of an increase in the number of lower attaining students in these regions post-2015 than has been the case in other regions. This is not true of London – but the high level of Key Stage 4 attainment overall for the capital </w:t>
      </w:r>
      <w:r w:rsidR="00FC22B1" w:rsidRPr="00EA6B18">
        <w:rPr>
          <w:rFonts w:eastAsia="Times New Roman"/>
          <w:sz w:val="20"/>
          <w:szCs w:val="20"/>
        </w:rPr>
        <w:t xml:space="preserve">over the last decade and more </w:t>
      </w:r>
      <w:r w:rsidR="00D17BB9" w:rsidRPr="00EA6B18">
        <w:rPr>
          <w:rFonts w:eastAsia="Times New Roman"/>
          <w:sz w:val="20"/>
          <w:szCs w:val="20"/>
        </w:rPr>
        <w:t>is by now a well-documented phenomenon.</w:t>
      </w:r>
    </w:p>
    <w:p w14:paraId="49AA7945" w14:textId="37CFE12D" w:rsidR="003B78CE" w:rsidRDefault="003F0436" w:rsidP="003B78CE">
      <w:pPr>
        <w:pStyle w:val="Heading3"/>
        <w:contextualSpacing/>
        <w:rPr>
          <w:rFonts w:ascii="Calibri" w:eastAsia="Times New Roman" w:hAnsi="Calibri" w:cs="Calibri"/>
          <w:sz w:val="20"/>
          <w:szCs w:val="20"/>
        </w:rPr>
      </w:pPr>
      <w:bookmarkStart w:id="16" w:name="_Toc20304772"/>
      <w:r w:rsidRPr="00EA6B18">
        <w:rPr>
          <w:rFonts w:ascii="Calibri" w:eastAsia="Times New Roman" w:hAnsi="Calibri" w:cs="Calibri"/>
          <w:sz w:val="20"/>
          <w:szCs w:val="20"/>
        </w:rPr>
        <w:t>4.</w:t>
      </w:r>
      <w:r w:rsidR="003B78CE" w:rsidRPr="00EA6B18">
        <w:rPr>
          <w:rFonts w:ascii="Calibri" w:eastAsia="Times New Roman" w:hAnsi="Calibri" w:cs="Calibri"/>
          <w:sz w:val="20"/>
          <w:szCs w:val="20"/>
        </w:rPr>
        <w:t>2 Area type</w:t>
      </w:r>
      <w:r w:rsidR="00393FE8" w:rsidRPr="00EA6B18">
        <w:rPr>
          <w:rFonts w:ascii="Calibri" w:eastAsia="Times New Roman" w:hAnsi="Calibri" w:cs="Calibri"/>
          <w:sz w:val="20"/>
          <w:szCs w:val="20"/>
        </w:rPr>
        <w:t xml:space="preserve">, </w:t>
      </w:r>
      <w:r w:rsidR="003B78CE" w:rsidRPr="00EA6B18">
        <w:rPr>
          <w:rFonts w:ascii="Calibri" w:eastAsia="Times New Roman" w:hAnsi="Calibri" w:cs="Calibri"/>
          <w:sz w:val="20"/>
          <w:szCs w:val="20"/>
        </w:rPr>
        <w:t>Coastal</w:t>
      </w:r>
      <w:r w:rsidR="00393FE8" w:rsidRPr="00EA6B18">
        <w:rPr>
          <w:rFonts w:ascii="Calibri" w:eastAsia="Times New Roman" w:hAnsi="Calibri" w:cs="Calibri"/>
          <w:sz w:val="20"/>
          <w:szCs w:val="20"/>
        </w:rPr>
        <w:t xml:space="preserve">, </w:t>
      </w:r>
      <w:r w:rsidR="003B78CE" w:rsidRPr="00EA6B18">
        <w:rPr>
          <w:rFonts w:ascii="Calibri" w:eastAsia="Times New Roman" w:hAnsi="Calibri" w:cs="Calibri"/>
          <w:sz w:val="20"/>
          <w:szCs w:val="20"/>
        </w:rPr>
        <w:t>Opportunity area</w:t>
      </w:r>
      <w:bookmarkEnd w:id="16"/>
    </w:p>
    <w:p w14:paraId="175E4CA1" w14:textId="77777777" w:rsidR="00EA6B18" w:rsidRPr="00EA6B18" w:rsidRDefault="00EA6B18" w:rsidP="00EA6B18"/>
    <w:p w14:paraId="70F468F3" w14:textId="0D2EAA6E" w:rsidR="00F041FC" w:rsidRPr="00EA6B18" w:rsidRDefault="00F041FC">
      <w:pPr>
        <w:spacing w:after="160" w:line="259" w:lineRule="auto"/>
        <w:rPr>
          <w:rFonts w:eastAsia="Times New Roman"/>
          <w:sz w:val="20"/>
          <w:szCs w:val="20"/>
        </w:rPr>
      </w:pPr>
      <w:r w:rsidRPr="00EA6B18">
        <w:rPr>
          <w:rFonts w:eastAsia="Times New Roman"/>
          <w:sz w:val="20"/>
          <w:szCs w:val="20"/>
        </w:rPr>
        <w:t>Broken down by these different measures of geography, a number of patterns in entries and attainment stand out.</w:t>
      </w:r>
    </w:p>
    <w:p w14:paraId="144B0DC1" w14:textId="1EC1B450" w:rsidR="00B1374D" w:rsidRPr="00EA6B18" w:rsidRDefault="00F041FC">
      <w:pPr>
        <w:spacing w:after="160" w:line="259" w:lineRule="auto"/>
        <w:rPr>
          <w:rFonts w:eastAsia="Times New Roman"/>
          <w:sz w:val="20"/>
          <w:szCs w:val="20"/>
        </w:rPr>
      </w:pPr>
      <w:r w:rsidRPr="00EA6B18">
        <w:rPr>
          <w:rFonts w:eastAsia="Times New Roman"/>
          <w:sz w:val="20"/>
          <w:szCs w:val="20"/>
        </w:rPr>
        <w:t xml:space="preserve">The proportion of GCSE entries in coastal areas has effectively matched that for non-coastal areas from 2016 onwards, closing a small gap that had been present since at least 2010. </w:t>
      </w:r>
      <w:r w:rsidR="00B1374D" w:rsidRPr="00EA6B18">
        <w:rPr>
          <w:rFonts w:eastAsia="Times New Roman"/>
          <w:sz w:val="20"/>
          <w:szCs w:val="20"/>
        </w:rPr>
        <w:t>(It is worth noting that w</w:t>
      </w:r>
      <w:r w:rsidR="00FC22B1" w:rsidRPr="00EA6B18">
        <w:rPr>
          <w:rFonts w:eastAsia="Times New Roman"/>
          <w:sz w:val="20"/>
          <w:szCs w:val="20"/>
        </w:rPr>
        <w:t>hile coastal</w:t>
      </w:r>
      <w:r w:rsidR="00B1374D" w:rsidRPr="00EA6B18">
        <w:rPr>
          <w:rFonts w:eastAsia="Times New Roman"/>
          <w:sz w:val="20"/>
          <w:szCs w:val="20"/>
        </w:rPr>
        <w:t xml:space="preserve"> areas are worthy of attention, with low attainment known to be an issue in some coastal communities, there are also a large number of coastal communities in which this is not the case.)</w:t>
      </w:r>
    </w:p>
    <w:p w14:paraId="17D0C92A" w14:textId="09BA364B" w:rsidR="00393FE8" w:rsidRPr="00EA6B18" w:rsidRDefault="00D17BB9">
      <w:pPr>
        <w:spacing w:after="160" w:line="259" w:lineRule="auto"/>
        <w:rPr>
          <w:rFonts w:eastAsia="Times New Roman"/>
          <w:color w:val="72003E" w:themeColor="accent1" w:themeShade="7F"/>
          <w:sz w:val="20"/>
          <w:szCs w:val="20"/>
        </w:rPr>
      </w:pPr>
      <w:r w:rsidRPr="00EA6B18">
        <w:rPr>
          <w:rFonts w:eastAsia="Times New Roman"/>
          <w:sz w:val="20"/>
          <w:szCs w:val="20"/>
        </w:rPr>
        <w:t xml:space="preserve">The effect of the expansion of geography GCSE post-2015 is seen most starkly in the analysis by opportunity area – areas identified by the Department for Education in which social mobility is particularly poor. While </w:t>
      </w:r>
      <w:r w:rsidR="00F041FC" w:rsidRPr="00EA6B18">
        <w:rPr>
          <w:rFonts w:eastAsia="Times New Roman"/>
          <w:sz w:val="20"/>
          <w:szCs w:val="20"/>
        </w:rPr>
        <w:t>attainment started</w:t>
      </w:r>
      <w:r w:rsidRPr="00EA6B18">
        <w:rPr>
          <w:rFonts w:eastAsia="Times New Roman"/>
          <w:sz w:val="20"/>
          <w:szCs w:val="20"/>
        </w:rPr>
        <w:t xml:space="preserve"> below that for non-opportunity area parts of the country, these </w:t>
      </w:r>
      <w:r w:rsidR="00F041FC" w:rsidRPr="00EA6B18">
        <w:rPr>
          <w:rFonts w:eastAsia="Times New Roman"/>
          <w:sz w:val="20"/>
          <w:szCs w:val="20"/>
        </w:rPr>
        <w:t xml:space="preserve">attainment </w:t>
      </w:r>
      <w:r w:rsidRPr="00EA6B18">
        <w:rPr>
          <w:rFonts w:eastAsia="Times New Roman"/>
          <w:sz w:val="20"/>
          <w:szCs w:val="20"/>
        </w:rPr>
        <w:t xml:space="preserve">gaps have particularly </w:t>
      </w:r>
      <w:r w:rsidR="00F041FC" w:rsidRPr="00EA6B18">
        <w:rPr>
          <w:rFonts w:eastAsia="Times New Roman"/>
          <w:sz w:val="20"/>
          <w:szCs w:val="20"/>
        </w:rPr>
        <w:t xml:space="preserve">increased since 2015 for </w:t>
      </w:r>
      <w:r w:rsidRPr="00EA6B18">
        <w:rPr>
          <w:rFonts w:eastAsia="Times New Roman"/>
          <w:sz w:val="20"/>
          <w:szCs w:val="20"/>
        </w:rPr>
        <w:t>all three of the measures looked at – attainment at the grade 7/A or above threshold, attainment at the grade 4/C or above threshold and average point score.</w:t>
      </w:r>
    </w:p>
    <w:p w14:paraId="5CDE5FF3" w14:textId="248B41AF" w:rsidR="003B78CE" w:rsidRDefault="003F0436" w:rsidP="003B78CE">
      <w:pPr>
        <w:pStyle w:val="Heading3"/>
        <w:contextualSpacing/>
        <w:rPr>
          <w:rFonts w:ascii="Calibri" w:eastAsia="Times New Roman" w:hAnsi="Calibri" w:cs="Calibri"/>
          <w:sz w:val="20"/>
          <w:szCs w:val="20"/>
        </w:rPr>
      </w:pPr>
      <w:bookmarkStart w:id="17" w:name="_Toc20304773"/>
      <w:r w:rsidRPr="00EA6B18">
        <w:rPr>
          <w:rFonts w:ascii="Calibri" w:eastAsia="Times New Roman" w:hAnsi="Calibri" w:cs="Calibri"/>
          <w:sz w:val="20"/>
          <w:szCs w:val="20"/>
        </w:rPr>
        <w:t>4.</w:t>
      </w:r>
      <w:r w:rsidR="00393FE8" w:rsidRPr="00EA6B18">
        <w:rPr>
          <w:rFonts w:ascii="Calibri" w:eastAsia="Times New Roman" w:hAnsi="Calibri" w:cs="Calibri"/>
          <w:sz w:val="20"/>
          <w:szCs w:val="20"/>
        </w:rPr>
        <w:t>3</w:t>
      </w:r>
      <w:r w:rsidR="003B78CE" w:rsidRPr="00EA6B18">
        <w:rPr>
          <w:rFonts w:ascii="Calibri" w:eastAsia="Times New Roman" w:hAnsi="Calibri" w:cs="Calibri"/>
          <w:sz w:val="20"/>
          <w:szCs w:val="20"/>
        </w:rPr>
        <w:t xml:space="preserve"> School free school meals quintile</w:t>
      </w:r>
      <w:bookmarkEnd w:id="17"/>
    </w:p>
    <w:p w14:paraId="17AE87B8" w14:textId="77777777" w:rsidR="00EA6B18" w:rsidRPr="00EA6B18" w:rsidRDefault="00EA6B18" w:rsidP="00EA6B18"/>
    <w:p w14:paraId="0854696C" w14:textId="1B4EB1C9" w:rsidR="002C0FA4" w:rsidRPr="00EA6B18" w:rsidRDefault="00F041FC">
      <w:pPr>
        <w:spacing w:after="160" w:line="259" w:lineRule="auto"/>
        <w:rPr>
          <w:rFonts w:eastAsia="Times New Roman"/>
          <w:sz w:val="20"/>
          <w:szCs w:val="20"/>
        </w:rPr>
      </w:pPr>
      <w:r w:rsidRPr="00EA6B18">
        <w:rPr>
          <w:rFonts w:eastAsia="Times New Roman"/>
          <w:sz w:val="20"/>
          <w:szCs w:val="20"/>
        </w:rPr>
        <w:t>In the perio</w:t>
      </w:r>
      <w:r w:rsidR="002C0FA4" w:rsidRPr="00EA6B18">
        <w:rPr>
          <w:rFonts w:eastAsia="Times New Roman"/>
          <w:sz w:val="20"/>
          <w:szCs w:val="20"/>
        </w:rPr>
        <w:t xml:space="preserve">d since 2010, GCSE geography entry rates have increased for schools in all quintiles when analysed by free school meals eligibility rates, </w:t>
      </w:r>
      <w:r w:rsidRPr="00EA6B18">
        <w:rPr>
          <w:rFonts w:eastAsia="Times New Roman"/>
          <w:sz w:val="20"/>
          <w:szCs w:val="20"/>
        </w:rPr>
        <w:t>but the increase post-2015 is most noticeable for sch</w:t>
      </w:r>
      <w:r w:rsidR="002C0FA4" w:rsidRPr="00EA6B18">
        <w:rPr>
          <w:rFonts w:eastAsia="Times New Roman"/>
          <w:sz w:val="20"/>
          <w:szCs w:val="20"/>
        </w:rPr>
        <w:t xml:space="preserve">ools with the highest </w:t>
      </w:r>
      <w:r w:rsidR="00B1374D" w:rsidRPr="00EA6B18">
        <w:rPr>
          <w:rFonts w:eastAsia="Times New Roman"/>
          <w:sz w:val="20"/>
          <w:szCs w:val="20"/>
        </w:rPr>
        <w:t>free school meals</w:t>
      </w:r>
      <w:r w:rsidR="002C0FA4" w:rsidRPr="00EA6B18">
        <w:rPr>
          <w:rFonts w:eastAsia="Times New Roman"/>
          <w:sz w:val="20"/>
          <w:szCs w:val="20"/>
        </w:rPr>
        <w:t xml:space="preserve"> rates (Q4 and Q5). This reflects</w:t>
      </w:r>
      <w:r w:rsidRPr="00EA6B18">
        <w:rPr>
          <w:rFonts w:eastAsia="Times New Roman"/>
          <w:sz w:val="20"/>
          <w:szCs w:val="20"/>
        </w:rPr>
        <w:t xml:space="preserve"> the observation </w:t>
      </w:r>
      <w:r w:rsidR="002C0FA4" w:rsidRPr="00EA6B18">
        <w:rPr>
          <w:rFonts w:eastAsia="Times New Roman"/>
          <w:sz w:val="20"/>
          <w:szCs w:val="20"/>
        </w:rPr>
        <w:t xml:space="preserve">made </w:t>
      </w:r>
      <w:r w:rsidRPr="00EA6B18">
        <w:rPr>
          <w:rFonts w:eastAsia="Times New Roman"/>
          <w:sz w:val="20"/>
          <w:szCs w:val="20"/>
        </w:rPr>
        <w:t xml:space="preserve">above </w:t>
      </w:r>
      <w:r w:rsidR="002C0FA4" w:rsidRPr="00EA6B18">
        <w:rPr>
          <w:rFonts w:eastAsia="Times New Roman"/>
          <w:sz w:val="20"/>
          <w:szCs w:val="20"/>
        </w:rPr>
        <w:t xml:space="preserve">about entry rates </w:t>
      </w:r>
      <w:r w:rsidR="00B1374D" w:rsidRPr="00EA6B18">
        <w:rPr>
          <w:rFonts w:eastAsia="Times New Roman"/>
          <w:sz w:val="20"/>
          <w:szCs w:val="20"/>
        </w:rPr>
        <w:t xml:space="preserve">for </w:t>
      </w:r>
      <w:r w:rsidRPr="00EA6B18">
        <w:rPr>
          <w:rFonts w:eastAsia="Times New Roman"/>
          <w:sz w:val="20"/>
          <w:szCs w:val="20"/>
        </w:rPr>
        <w:t xml:space="preserve">disadvantaged pupils </w:t>
      </w:r>
      <w:r w:rsidR="002C0FA4" w:rsidRPr="00EA6B18">
        <w:rPr>
          <w:rFonts w:eastAsia="Times New Roman"/>
          <w:sz w:val="20"/>
          <w:szCs w:val="20"/>
        </w:rPr>
        <w:t>since this point.</w:t>
      </w:r>
    </w:p>
    <w:p w14:paraId="1135732E" w14:textId="3CF9E123" w:rsidR="002C0FA4" w:rsidRPr="00EA6B18" w:rsidRDefault="002C0FA4">
      <w:pPr>
        <w:spacing w:after="160" w:line="259" w:lineRule="auto"/>
        <w:rPr>
          <w:rFonts w:eastAsia="Times New Roman"/>
          <w:sz w:val="20"/>
          <w:szCs w:val="20"/>
        </w:rPr>
      </w:pPr>
      <w:r w:rsidRPr="00EA6B18">
        <w:rPr>
          <w:rFonts w:eastAsia="Times New Roman"/>
          <w:sz w:val="20"/>
          <w:szCs w:val="20"/>
        </w:rPr>
        <w:t xml:space="preserve">(Those establishments with no </w:t>
      </w:r>
      <w:r w:rsidR="00B1374D" w:rsidRPr="00EA6B18">
        <w:rPr>
          <w:rFonts w:eastAsia="Times New Roman"/>
          <w:sz w:val="20"/>
          <w:szCs w:val="20"/>
        </w:rPr>
        <w:t xml:space="preserve">free school meals </w:t>
      </w:r>
      <w:r w:rsidRPr="00EA6B18">
        <w:rPr>
          <w:rFonts w:eastAsia="Times New Roman"/>
          <w:sz w:val="20"/>
          <w:szCs w:val="20"/>
        </w:rPr>
        <w:t>classification consist mostly independent schools – with the same trend observable as when looking at entry rates by admissions policy).</w:t>
      </w:r>
    </w:p>
    <w:p w14:paraId="63429F1E" w14:textId="118B99B6" w:rsidR="00393FE8" w:rsidRPr="00EA6B18" w:rsidRDefault="002C0FA4">
      <w:pPr>
        <w:spacing w:after="160" w:line="259" w:lineRule="auto"/>
        <w:rPr>
          <w:rFonts w:eastAsia="Times New Roman"/>
          <w:sz w:val="20"/>
          <w:szCs w:val="20"/>
        </w:rPr>
      </w:pPr>
      <w:r w:rsidRPr="00EA6B18">
        <w:rPr>
          <w:rFonts w:eastAsia="Times New Roman"/>
          <w:sz w:val="20"/>
          <w:szCs w:val="20"/>
        </w:rPr>
        <w:t>Attainment rates follow what are very predictable patterns, with one of the notable features being the size of the gap between the schools with the fewest pupils eligible for free school meals (Q1) and the next group</w:t>
      </w:r>
      <w:r w:rsidR="00774ED7" w:rsidRPr="00EA6B18">
        <w:rPr>
          <w:rFonts w:eastAsia="Times New Roman"/>
          <w:sz w:val="20"/>
          <w:szCs w:val="20"/>
        </w:rPr>
        <w:t xml:space="preserve"> (Q2)</w:t>
      </w:r>
      <w:r w:rsidRPr="00EA6B18">
        <w:rPr>
          <w:rFonts w:eastAsia="Times New Roman"/>
          <w:sz w:val="20"/>
          <w:szCs w:val="20"/>
        </w:rPr>
        <w:t xml:space="preserve">. Also notable is the drop off in attainment from 2016 onwards in the quintiles representing schools with the highest proportion of pupils eligible for free school meals. This is where there has been the biggest expansion in geography entries, </w:t>
      </w:r>
      <w:r w:rsidR="007E10C3" w:rsidRPr="00EA6B18">
        <w:rPr>
          <w:rFonts w:eastAsia="Times New Roman"/>
          <w:sz w:val="20"/>
          <w:szCs w:val="20"/>
        </w:rPr>
        <w:t xml:space="preserve">suggesting that in these schools </w:t>
      </w:r>
      <w:r w:rsidRPr="00EA6B18">
        <w:rPr>
          <w:rFonts w:eastAsia="Times New Roman"/>
          <w:sz w:val="20"/>
          <w:szCs w:val="20"/>
        </w:rPr>
        <w:t>it is likely to be lower attaining pupils who are now newly sitting GCSE</w:t>
      </w:r>
      <w:r w:rsidR="00774ED7" w:rsidRPr="00EA6B18">
        <w:rPr>
          <w:rFonts w:eastAsia="Times New Roman"/>
          <w:sz w:val="20"/>
          <w:szCs w:val="20"/>
        </w:rPr>
        <w:t xml:space="preserve"> geography</w:t>
      </w:r>
      <w:r w:rsidRPr="00EA6B18">
        <w:rPr>
          <w:rFonts w:eastAsia="Times New Roman"/>
          <w:sz w:val="20"/>
          <w:szCs w:val="20"/>
        </w:rPr>
        <w:t>.</w:t>
      </w:r>
    </w:p>
    <w:p w14:paraId="43B39C9B" w14:textId="6B3BC083" w:rsidR="003B78CE" w:rsidRDefault="003F0436" w:rsidP="003B78CE">
      <w:pPr>
        <w:pStyle w:val="Heading3"/>
        <w:contextualSpacing/>
        <w:rPr>
          <w:rFonts w:ascii="Calibri" w:eastAsia="Times New Roman" w:hAnsi="Calibri" w:cs="Calibri"/>
          <w:sz w:val="20"/>
          <w:szCs w:val="20"/>
        </w:rPr>
      </w:pPr>
      <w:bookmarkStart w:id="18" w:name="_Toc20304774"/>
      <w:r w:rsidRPr="00EA6B18">
        <w:rPr>
          <w:rFonts w:ascii="Calibri" w:eastAsia="Times New Roman" w:hAnsi="Calibri" w:cs="Calibri"/>
          <w:sz w:val="20"/>
          <w:szCs w:val="20"/>
        </w:rPr>
        <w:t>4.</w:t>
      </w:r>
      <w:r w:rsidR="00393FE8" w:rsidRPr="00EA6B18">
        <w:rPr>
          <w:rFonts w:ascii="Calibri" w:eastAsia="Times New Roman" w:hAnsi="Calibri" w:cs="Calibri"/>
          <w:sz w:val="20"/>
          <w:szCs w:val="20"/>
        </w:rPr>
        <w:t>4</w:t>
      </w:r>
      <w:r w:rsidR="003B78CE" w:rsidRPr="00EA6B18">
        <w:rPr>
          <w:rFonts w:ascii="Calibri" w:eastAsia="Times New Roman" w:hAnsi="Calibri" w:cs="Calibri"/>
          <w:sz w:val="20"/>
          <w:szCs w:val="20"/>
        </w:rPr>
        <w:t xml:space="preserve"> Admissions policy</w:t>
      </w:r>
      <w:r w:rsidR="00F041FC" w:rsidRPr="00EA6B18">
        <w:rPr>
          <w:rFonts w:ascii="Calibri" w:eastAsia="Times New Roman" w:hAnsi="Calibri" w:cs="Calibri"/>
          <w:sz w:val="20"/>
          <w:szCs w:val="20"/>
        </w:rPr>
        <w:t xml:space="preserve">, </w:t>
      </w:r>
      <w:r w:rsidR="003B78CE" w:rsidRPr="00EA6B18">
        <w:rPr>
          <w:rFonts w:ascii="Calibri" w:eastAsia="Times New Roman" w:hAnsi="Calibri" w:cs="Calibri"/>
          <w:sz w:val="20"/>
          <w:szCs w:val="20"/>
        </w:rPr>
        <w:t>Governance</w:t>
      </w:r>
      <w:bookmarkEnd w:id="18"/>
    </w:p>
    <w:p w14:paraId="6C718C28" w14:textId="77777777" w:rsidR="005A3EFE" w:rsidRPr="005A3EFE" w:rsidRDefault="005A3EFE" w:rsidP="005A3EFE"/>
    <w:p w14:paraId="13C337C7" w14:textId="301C4440" w:rsidR="00736FB8" w:rsidRPr="00EA6B18" w:rsidRDefault="002C0FA4">
      <w:pPr>
        <w:spacing w:after="160" w:line="259" w:lineRule="auto"/>
        <w:rPr>
          <w:rFonts w:eastAsia="Times New Roman"/>
          <w:sz w:val="20"/>
          <w:szCs w:val="20"/>
        </w:rPr>
      </w:pPr>
      <w:r w:rsidRPr="00EA6B18">
        <w:rPr>
          <w:rFonts w:eastAsia="Times New Roman"/>
          <w:sz w:val="20"/>
          <w:szCs w:val="20"/>
        </w:rPr>
        <w:lastRenderedPageBreak/>
        <w:t xml:space="preserve">Analysed by admissions policy, entry </w:t>
      </w:r>
      <w:r w:rsidR="00736FB8" w:rsidRPr="00EA6B18">
        <w:rPr>
          <w:rFonts w:eastAsia="Times New Roman"/>
          <w:sz w:val="20"/>
          <w:szCs w:val="20"/>
        </w:rPr>
        <w:t>rates for all elements of the state sector have increased since 2010 – with the greatest increase post-2015 in comprehensives and secondary moderns</w:t>
      </w:r>
      <w:r w:rsidR="007E10C3" w:rsidRPr="00EA6B18">
        <w:rPr>
          <w:rStyle w:val="FootnoteReference"/>
          <w:rFonts w:eastAsia="Times New Roman"/>
          <w:sz w:val="20"/>
          <w:szCs w:val="20"/>
        </w:rPr>
        <w:footnoteReference w:id="3"/>
      </w:r>
      <w:r w:rsidR="00736FB8" w:rsidRPr="00EA6B18">
        <w:rPr>
          <w:rFonts w:eastAsia="Times New Roman"/>
          <w:sz w:val="20"/>
          <w:szCs w:val="20"/>
        </w:rPr>
        <w:t xml:space="preserve">, where there was the greatest scope for increase. </w:t>
      </w:r>
      <w:r w:rsidRPr="00EA6B18">
        <w:rPr>
          <w:rFonts w:eastAsia="Times New Roman"/>
          <w:sz w:val="20"/>
          <w:szCs w:val="20"/>
        </w:rPr>
        <w:t xml:space="preserve">(An entry rate of 50% or above in grammar schools perhaps suggests that almost all students </w:t>
      </w:r>
      <w:r w:rsidR="00736FB8" w:rsidRPr="00EA6B18">
        <w:rPr>
          <w:rFonts w:eastAsia="Times New Roman"/>
          <w:sz w:val="20"/>
          <w:szCs w:val="20"/>
        </w:rPr>
        <w:t xml:space="preserve">in grammar schools </w:t>
      </w:r>
      <w:r w:rsidRPr="00EA6B18">
        <w:rPr>
          <w:rFonts w:eastAsia="Times New Roman"/>
          <w:sz w:val="20"/>
          <w:szCs w:val="20"/>
        </w:rPr>
        <w:t>take one of the humanities.)</w:t>
      </w:r>
    </w:p>
    <w:p w14:paraId="33A9C211" w14:textId="77777777" w:rsidR="00736FB8" w:rsidRPr="00EA6B18" w:rsidRDefault="00736FB8">
      <w:pPr>
        <w:spacing w:after="160" w:line="259" w:lineRule="auto"/>
        <w:rPr>
          <w:rFonts w:eastAsia="Times New Roman"/>
          <w:sz w:val="20"/>
          <w:szCs w:val="20"/>
        </w:rPr>
      </w:pPr>
      <w:r w:rsidRPr="00EA6B18">
        <w:rPr>
          <w:rFonts w:eastAsia="Times New Roman"/>
          <w:sz w:val="20"/>
          <w:szCs w:val="20"/>
        </w:rPr>
        <w:t>The entry rate for independent schools had been decline since 2010, but increased again in 2018 – the likely explanation being a switch to GCSEs, after years of increasing international GCSE entries.</w:t>
      </w:r>
    </w:p>
    <w:p w14:paraId="753A227C" w14:textId="40066BCF" w:rsidR="00736FB8" w:rsidRPr="00EA6B18" w:rsidRDefault="00736FB8">
      <w:pPr>
        <w:spacing w:after="160" w:line="259" w:lineRule="auto"/>
        <w:rPr>
          <w:rFonts w:eastAsia="Times New Roman"/>
          <w:sz w:val="20"/>
          <w:szCs w:val="20"/>
        </w:rPr>
      </w:pPr>
      <w:r w:rsidRPr="00EA6B18">
        <w:rPr>
          <w:rFonts w:eastAsia="Times New Roman"/>
          <w:sz w:val="20"/>
          <w:szCs w:val="20"/>
        </w:rPr>
        <w:t>Attainment patterns show grammar schools and independent schools achieving much higher results than secondary moderns and comprehensives, as would be expected given the high prior attainment of their intakes.</w:t>
      </w:r>
    </w:p>
    <w:p w14:paraId="1E4A7350" w14:textId="0153480C" w:rsidR="00393FE8" w:rsidRPr="00EA6B18" w:rsidRDefault="00774ED7">
      <w:pPr>
        <w:spacing w:after="160" w:line="259" w:lineRule="auto"/>
        <w:rPr>
          <w:rFonts w:eastAsia="Times New Roman"/>
          <w:sz w:val="20"/>
          <w:szCs w:val="20"/>
        </w:rPr>
      </w:pPr>
      <w:r w:rsidRPr="00EA6B18">
        <w:rPr>
          <w:rFonts w:eastAsia="Times New Roman"/>
          <w:sz w:val="20"/>
          <w:szCs w:val="20"/>
        </w:rPr>
        <w:t>When looked at by governance rather than admissions policy, declining attainment levels are a feature generally</w:t>
      </w:r>
      <w:r w:rsidR="00736FB8" w:rsidRPr="00EA6B18">
        <w:rPr>
          <w:rFonts w:eastAsia="Times New Roman"/>
          <w:sz w:val="20"/>
          <w:szCs w:val="20"/>
        </w:rPr>
        <w:t xml:space="preserve">. Attainment appears to have held up relatively well for community schools – but it needs to be borne in mind that the community schools with the lowest Key Stage 4 performance will in many cases have converted to </w:t>
      </w:r>
      <w:r w:rsidR="007E10C3" w:rsidRPr="00EA6B18">
        <w:rPr>
          <w:rFonts w:eastAsia="Times New Roman"/>
          <w:sz w:val="20"/>
          <w:szCs w:val="20"/>
        </w:rPr>
        <w:t xml:space="preserve">sponsored </w:t>
      </w:r>
      <w:r w:rsidR="00736FB8" w:rsidRPr="00EA6B18">
        <w:rPr>
          <w:rFonts w:eastAsia="Times New Roman"/>
          <w:sz w:val="20"/>
          <w:szCs w:val="20"/>
        </w:rPr>
        <w:t>academy status</w:t>
      </w:r>
      <w:r w:rsidRPr="00EA6B18">
        <w:rPr>
          <w:rFonts w:eastAsia="Times New Roman"/>
          <w:sz w:val="20"/>
          <w:szCs w:val="20"/>
        </w:rPr>
        <w:t xml:space="preserve"> over the period looked at</w:t>
      </w:r>
      <w:r w:rsidR="00736FB8" w:rsidRPr="00EA6B18">
        <w:rPr>
          <w:rFonts w:eastAsia="Times New Roman"/>
          <w:sz w:val="20"/>
          <w:szCs w:val="20"/>
        </w:rPr>
        <w:t>.</w:t>
      </w:r>
    </w:p>
    <w:p w14:paraId="5C8BBA4D" w14:textId="4CC28008" w:rsidR="003B78CE" w:rsidRDefault="003F0436" w:rsidP="003B78CE">
      <w:pPr>
        <w:pStyle w:val="Heading3"/>
        <w:contextualSpacing/>
        <w:rPr>
          <w:rFonts w:ascii="Calibri" w:eastAsia="Times New Roman" w:hAnsi="Calibri" w:cs="Calibri"/>
          <w:sz w:val="20"/>
          <w:szCs w:val="20"/>
        </w:rPr>
      </w:pPr>
      <w:bookmarkStart w:id="19" w:name="_Toc20304775"/>
      <w:r w:rsidRPr="00EA6B18">
        <w:rPr>
          <w:rFonts w:ascii="Calibri" w:eastAsia="Times New Roman" w:hAnsi="Calibri" w:cs="Calibri"/>
          <w:sz w:val="20"/>
          <w:szCs w:val="20"/>
        </w:rPr>
        <w:t>4.</w:t>
      </w:r>
      <w:r w:rsidR="00F041FC" w:rsidRPr="00EA6B18">
        <w:rPr>
          <w:rFonts w:ascii="Calibri" w:eastAsia="Times New Roman" w:hAnsi="Calibri" w:cs="Calibri"/>
          <w:sz w:val="20"/>
          <w:szCs w:val="20"/>
        </w:rPr>
        <w:t>5</w:t>
      </w:r>
      <w:r w:rsidR="003B78CE" w:rsidRPr="00EA6B18">
        <w:rPr>
          <w:rFonts w:ascii="Calibri" w:eastAsia="Times New Roman" w:hAnsi="Calibri" w:cs="Calibri"/>
          <w:sz w:val="20"/>
          <w:szCs w:val="20"/>
        </w:rPr>
        <w:t xml:space="preserve"> Inspection rating</w:t>
      </w:r>
      <w:bookmarkEnd w:id="19"/>
    </w:p>
    <w:p w14:paraId="5CE76C63" w14:textId="77777777" w:rsidR="005A3EFE" w:rsidRPr="005A3EFE" w:rsidRDefault="005A3EFE" w:rsidP="005A3EFE"/>
    <w:p w14:paraId="1DDCB146" w14:textId="49D0AC57" w:rsidR="003B78CE" w:rsidRPr="00EA6B18" w:rsidRDefault="00736FB8" w:rsidP="003B78CE">
      <w:pPr>
        <w:rPr>
          <w:sz w:val="20"/>
          <w:szCs w:val="20"/>
        </w:rPr>
      </w:pPr>
      <w:r w:rsidRPr="00EA6B18">
        <w:rPr>
          <w:sz w:val="20"/>
          <w:szCs w:val="20"/>
        </w:rPr>
        <w:t>Entry patterns and attainment analysed by inspection rating show a very similar picture to that when analysed by schools FSM quintile – not surprising in itself, given the relationship between disadvantage rates and inspection ratings.</w:t>
      </w:r>
    </w:p>
    <w:p w14:paraId="65706044" w14:textId="0E489DEA" w:rsidR="003F0436" w:rsidRPr="00EA6B18" w:rsidRDefault="003F0436" w:rsidP="003B78CE">
      <w:pPr>
        <w:rPr>
          <w:sz w:val="20"/>
          <w:szCs w:val="20"/>
        </w:rPr>
      </w:pPr>
    </w:p>
    <w:p w14:paraId="5C072613" w14:textId="50FB9CFC" w:rsidR="003F0436" w:rsidRPr="00EA6B18" w:rsidRDefault="003F0436" w:rsidP="003B78CE">
      <w:pPr>
        <w:rPr>
          <w:sz w:val="20"/>
          <w:szCs w:val="20"/>
        </w:rPr>
      </w:pPr>
      <w:r w:rsidRPr="00EA6B18">
        <w:rPr>
          <w:sz w:val="20"/>
          <w:szCs w:val="20"/>
        </w:rPr>
        <w:t xml:space="preserve">Schools with </w:t>
      </w:r>
      <w:r w:rsidRPr="00EA6B18">
        <w:rPr>
          <w:i/>
          <w:sz w:val="20"/>
          <w:szCs w:val="20"/>
        </w:rPr>
        <w:t xml:space="preserve">outstanding </w:t>
      </w:r>
      <w:r w:rsidRPr="00EA6B18">
        <w:rPr>
          <w:sz w:val="20"/>
          <w:szCs w:val="20"/>
        </w:rPr>
        <w:t xml:space="preserve">Ofsted ratings have the highest geography GCSE entry rates – albeit by a smaller margin than has been the case until recently. The gap in attainment is large – 32.5 percentage points between a school rated </w:t>
      </w:r>
      <w:r w:rsidRPr="00EA6B18">
        <w:rPr>
          <w:i/>
          <w:sz w:val="20"/>
          <w:szCs w:val="20"/>
        </w:rPr>
        <w:t xml:space="preserve">outstanding </w:t>
      </w:r>
      <w:r w:rsidRPr="00EA6B18">
        <w:rPr>
          <w:sz w:val="20"/>
          <w:szCs w:val="20"/>
        </w:rPr>
        <w:t xml:space="preserve">and one rated </w:t>
      </w:r>
      <w:r w:rsidRPr="00EA6B18">
        <w:rPr>
          <w:i/>
          <w:sz w:val="20"/>
          <w:szCs w:val="20"/>
        </w:rPr>
        <w:t xml:space="preserve">inadequate </w:t>
      </w:r>
      <w:r w:rsidRPr="00EA6B18">
        <w:rPr>
          <w:sz w:val="20"/>
          <w:szCs w:val="20"/>
        </w:rPr>
        <w:t>at the grade 4/C or above threshold in 2018 – and has increased over the period looked at.</w:t>
      </w:r>
    </w:p>
    <w:p w14:paraId="7C309780" w14:textId="67FC02BE" w:rsidR="003B78CE" w:rsidRPr="00EA6B18" w:rsidRDefault="003B78CE" w:rsidP="003B78CE">
      <w:pPr>
        <w:rPr>
          <w:sz w:val="20"/>
          <w:szCs w:val="20"/>
        </w:rPr>
      </w:pPr>
    </w:p>
    <w:p w14:paraId="54976C9D" w14:textId="77777777" w:rsidR="003B78CE" w:rsidRPr="003B78CE" w:rsidRDefault="003B78CE" w:rsidP="003B78CE"/>
    <w:sectPr w:rsidR="003B78CE" w:rsidRPr="003B78CE" w:rsidSect="003A144A">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5D680" w14:textId="77777777" w:rsidR="004423A9" w:rsidRDefault="004423A9" w:rsidP="000F4E7E">
      <w:r>
        <w:separator/>
      </w:r>
    </w:p>
  </w:endnote>
  <w:endnote w:type="continuationSeparator" w:id="0">
    <w:p w14:paraId="43C85856" w14:textId="77777777" w:rsidR="004423A9" w:rsidRDefault="004423A9" w:rsidP="000F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LT Std 55 Roman">
    <w:altName w:val="Malgun Gothic"/>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880768"/>
      <w:docPartObj>
        <w:docPartGallery w:val="Page Numbers (Bottom of Page)"/>
        <w:docPartUnique/>
      </w:docPartObj>
    </w:sdtPr>
    <w:sdtEndPr>
      <w:rPr>
        <w:noProof/>
      </w:rPr>
    </w:sdtEndPr>
    <w:sdtContent>
      <w:p w14:paraId="26F8875B" w14:textId="6F66C936" w:rsidR="002C0FA4" w:rsidRDefault="002C0FA4">
        <w:pPr>
          <w:pStyle w:val="Footer"/>
          <w:jc w:val="center"/>
        </w:pPr>
        <w:r>
          <w:fldChar w:fldCharType="begin"/>
        </w:r>
        <w:r>
          <w:instrText xml:space="preserve"> PAGE   \* MERGEFORMAT </w:instrText>
        </w:r>
        <w:r>
          <w:fldChar w:fldCharType="separate"/>
        </w:r>
        <w:r w:rsidR="00374B34">
          <w:rPr>
            <w:noProof/>
          </w:rPr>
          <w:t>3</w:t>
        </w:r>
        <w:r>
          <w:rPr>
            <w:noProof/>
          </w:rPr>
          <w:fldChar w:fldCharType="end"/>
        </w:r>
      </w:p>
    </w:sdtContent>
  </w:sdt>
  <w:p w14:paraId="12612B48" w14:textId="4C2AF4A7" w:rsidR="002C0FA4" w:rsidRDefault="002C0FA4" w:rsidP="006D15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9E759" w14:textId="77777777" w:rsidR="004423A9" w:rsidRDefault="004423A9" w:rsidP="000F4E7E">
      <w:r>
        <w:separator/>
      </w:r>
    </w:p>
  </w:footnote>
  <w:footnote w:type="continuationSeparator" w:id="0">
    <w:p w14:paraId="6F7356B7" w14:textId="77777777" w:rsidR="004423A9" w:rsidRDefault="004423A9" w:rsidP="000F4E7E">
      <w:r>
        <w:continuationSeparator/>
      </w:r>
    </w:p>
  </w:footnote>
  <w:footnote w:id="1">
    <w:p w14:paraId="42E48ABA" w14:textId="4C072633" w:rsidR="006741B7" w:rsidRPr="00EA6B18" w:rsidRDefault="006741B7">
      <w:pPr>
        <w:pStyle w:val="FootnoteText"/>
        <w:rPr>
          <w:sz w:val="18"/>
          <w:szCs w:val="18"/>
        </w:rPr>
      </w:pPr>
      <w:r w:rsidRPr="00EA6B18">
        <w:rPr>
          <w:rStyle w:val="FootnoteReference"/>
          <w:sz w:val="18"/>
          <w:szCs w:val="18"/>
        </w:rPr>
        <w:footnoteRef/>
      </w:r>
      <w:r w:rsidRPr="00EA6B18">
        <w:rPr>
          <w:sz w:val="18"/>
          <w:szCs w:val="18"/>
        </w:rPr>
        <w:t xml:space="preserve"> Qualifications included in this analysis are full course GCSEs and regulated international GCSEs. More detail on this is provided in the methodology document.</w:t>
      </w:r>
    </w:p>
  </w:footnote>
  <w:footnote w:id="2">
    <w:p w14:paraId="77B09C20" w14:textId="77777777" w:rsidR="00DC3DA9" w:rsidRPr="00EA6B18" w:rsidRDefault="00DC3DA9" w:rsidP="00DC3DA9">
      <w:pPr>
        <w:pStyle w:val="FootnoteText"/>
        <w:rPr>
          <w:sz w:val="18"/>
          <w:szCs w:val="18"/>
        </w:rPr>
      </w:pPr>
      <w:r w:rsidRPr="00EA6B18">
        <w:rPr>
          <w:rStyle w:val="FootnoteReference"/>
          <w:sz w:val="18"/>
          <w:szCs w:val="18"/>
        </w:rPr>
        <w:footnoteRef/>
      </w:r>
      <w:r w:rsidRPr="00EA6B18">
        <w:rPr>
          <w:sz w:val="18"/>
          <w:szCs w:val="18"/>
        </w:rPr>
        <w:t xml:space="preserve"> Throughout this report, years refer to year in which the academic year finished – that is, 2010 refers to 2009/10, for example.</w:t>
      </w:r>
    </w:p>
  </w:footnote>
  <w:footnote w:id="3">
    <w:p w14:paraId="477320AB" w14:textId="77777777" w:rsidR="007E10C3" w:rsidRPr="005A3EFE" w:rsidRDefault="007E10C3" w:rsidP="007E10C3">
      <w:pPr>
        <w:pStyle w:val="FootnoteText"/>
        <w:rPr>
          <w:sz w:val="18"/>
          <w:szCs w:val="18"/>
        </w:rPr>
      </w:pPr>
      <w:r w:rsidRPr="005A3EFE">
        <w:rPr>
          <w:rStyle w:val="FootnoteReference"/>
          <w:sz w:val="18"/>
          <w:szCs w:val="18"/>
        </w:rPr>
        <w:footnoteRef/>
      </w:r>
      <w:r w:rsidRPr="005A3EFE">
        <w:rPr>
          <w:sz w:val="18"/>
          <w:szCs w:val="18"/>
        </w:rPr>
        <w:t xml:space="preserve"> See a note on the definition of secondary moderns in the methodology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5A3"/>
    <w:multiLevelType w:val="hybridMultilevel"/>
    <w:tmpl w:val="6AF4B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21337"/>
    <w:multiLevelType w:val="multilevel"/>
    <w:tmpl w:val="A568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80CFD"/>
    <w:multiLevelType w:val="hybridMultilevel"/>
    <w:tmpl w:val="D02A9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D3775"/>
    <w:multiLevelType w:val="hybridMultilevel"/>
    <w:tmpl w:val="637C0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B7D45"/>
    <w:multiLevelType w:val="hybridMultilevel"/>
    <w:tmpl w:val="48C2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86491"/>
    <w:multiLevelType w:val="hybridMultilevel"/>
    <w:tmpl w:val="BDDC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F412B"/>
    <w:multiLevelType w:val="hybridMultilevel"/>
    <w:tmpl w:val="C054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E1326"/>
    <w:multiLevelType w:val="hybridMultilevel"/>
    <w:tmpl w:val="7398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D0E36"/>
    <w:multiLevelType w:val="hybridMultilevel"/>
    <w:tmpl w:val="78F02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47741"/>
    <w:multiLevelType w:val="hybridMultilevel"/>
    <w:tmpl w:val="9B34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D55D9"/>
    <w:multiLevelType w:val="hybridMultilevel"/>
    <w:tmpl w:val="78E20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642BD"/>
    <w:multiLevelType w:val="hybridMultilevel"/>
    <w:tmpl w:val="18B6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22692"/>
    <w:multiLevelType w:val="hybridMultilevel"/>
    <w:tmpl w:val="E8A0C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23FA6"/>
    <w:multiLevelType w:val="hybridMultilevel"/>
    <w:tmpl w:val="2D1E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842D1"/>
    <w:multiLevelType w:val="hybridMultilevel"/>
    <w:tmpl w:val="0E62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E12E4"/>
    <w:multiLevelType w:val="hybridMultilevel"/>
    <w:tmpl w:val="EB14F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87DF3"/>
    <w:multiLevelType w:val="hybridMultilevel"/>
    <w:tmpl w:val="6D7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C2981"/>
    <w:multiLevelType w:val="hybridMultilevel"/>
    <w:tmpl w:val="EB48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6074B"/>
    <w:multiLevelType w:val="hybridMultilevel"/>
    <w:tmpl w:val="32A40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E0B70"/>
    <w:multiLevelType w:val="hybridMultilevel"/>
    <w:tmpl w:val="174A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E2CA6"/>
    <w:multiLevelType w:val="hybridMultilevel"/>
    <w:tmpl w:val="2B98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72F4B"/>
    <w:multiLevelType w:val="hybridMultilevel"/>
    <w:tmpl w:val="168A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3"/>
  </w:num>
  <w:num w:numId="4">
    <w:abstractNumId w:val="10"/>
  </w:num>
  <w:num w:numId="5">
    <w:abstractNumId w:val="20"/>
  </w:num>
  <w:num w:numId="6">
    <w:abstractNumId w:val="19"/>
  </w:num>
  <w:num w:numId="7">
    <w:abstractNumId w:val="7"/>
  </w:num>
  <w:num w:numId="8">
    <w:abstractNumId w:val="18"/>
  </w:num>
  <w:num w:numId="9">
    <w:abstractNumId w:val="17"/>
  </w:num>
  <w:num w:numId="10">
    <w:abstractNumId w:val="9"/>
  </w:num>
  <w:num w:numId="11">
    <w:abstractNumId w:val="8"/>
  </w:num>
  <w:num w:numId="12">
    <w:abstractNumId w:val="14"/>
  </w:num>
  <w:num w:numId="13">
    <w:abstractNumId w:val="0"/>
  </w:num>
  <w:num w:numId="14">
    <w:abstractNumId w:val="6"/>
  </w:num>
  <w:num w:numId="15">
    <w:abstractNumId w:val="21"/>
  </w:num>
  <w:num w:numId="16">
    <w:abstractNumId w:val="12"/>
  </w:num>
  <w:num w:numId="17">
    <w:abstractNumId w:val="2"/>
  </w:num>
  <w:num w:numId="18">
    <w:abstractNumId w:val="5"/>
  </w:num>
  <w:num w:numId="19">
    <w:abstractNumId w:val="4"/>
  </w:num>
  <w:num w:numId="20">
    <w:abstractNumId w:val="11"/>
  </w:num>
  <w:num w:numId="21">
    <w:abstractNumId w:val="16"/>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13"/>
    <w:rsid w:val="00000C5E"/>
    <w:rsid w:val="00012858"/>
    <w:rsid w:val="00013D8B"/>
    <w:rsid w:val="000148F3"/>
    <w:rsid w:val="00072460"/>
    <w:rsid w:val="00075BFB"/>
    <w:rsid w:val="00083A3B"/>
    <w:rsid w:val="0009234F"/>
    <w:rsid w:val="000A13D9"/>
    <w:rsid w:val="000A1593"/>
    <w:rsid w:val="000A1712"/>
    <w:rsid w:val="000A4D2D"/>
    <w:rsid w:val="000B14CB"/>
    <w:rsid w:val="000B4279"/>
    <w:rsid w:val="000B69BD"/>
    <w:rsid w:val="000B6E49"/>
    <w:rsid w:val="000D2107"/>
    <w:rsid w:val="000F4E7E"/>
    <w:rsid w:val="0012135E"/>
    <w:rsid w:val="00145023"/>
    <w:rsid w:val="00151F07"/>
    <w:rsid w:val="00167ADC"/>
    <w:rsid w:val="00170639"/>
    <w:rsid w:val="001A160D"/>
    <w:rsid w:val="001A569D"/>
    <w:rsid w:val="001A6913"/>
    <w:rsid w:val="001B5FF3"/>
    <w:rsid w:val="001D61D8"/>
    <w:rsid w:val="001F6950"/>
    <w:rsid w:val="00201A9C"/>
    <w:rsid w:val="0020389E"/>
    <w:rsid w:val="00215B77"/>
    <w:rsid w:val="002163A2"/>
    <w:rsid w:val="00216499"/>
    <w:rsid w:val="002236E5"/>
    <w:rsid w:val="002238D8"/>
    <w:rsid w:val="00225A57"/>
    <w:rsid w:val="00265F50"/>
    <w:rsid w:val="002A5FCC"/>
    <w:rsid w:val="002A7375"/>
    <w:rsid w:val="002C0BA3"/>
    <w:rsid w:val="002C0FA4"/>
    <w:rsid w:val="002C4366"/>
    <w:rsid w:val="002C77B0"/>
    <w:rsid w:val="002E063A"/>
    <w:rsid w:val="002E60FC"/>
    <w:rsid w:val="002F04E4"/>
    <w:rsid w:val="002F7867"/>
    <w:rsid w:val="0032419B"/>
    <w:rsid w:val="00344980"/>
    <w:rsid w:val="00350AF9"/>
    <w:rsid w:val="00360E04"/>
    <w:rsid w:val="00362625"/>
    <w:rsid w:val="0037044D"/>
    <w:rsid w:val="00374B34"/>
    <w:rsid w:val="003812A1"/>
    <w:rsid w:val="0038626D"/>
    <w:rsid w:val="00391AFE"/>
    <w:rsid w:val="00393FE8"/>
    <w:rsid w:val="003A144A"/>
    <w:rsid w:val="003A3F37"/>
    <w:rsid w:val="003A441D"/>
    <w:rsid w:val="003B78CE"/>
    <w:rsid w:val="003D3477"/>
    <w:rsid w:val="003D7154"/>
    <w:rsid w:val="003D7976"/>
    <w:rsid w:val="003F0436"/>
    <w:rsid w:val="003F5BBB"/>
    <w:rsid w:val="003F7ED8"/>
    <w:rsid w:val="00402F4C"/>
    <w:rsid w:val="004331C8"/>
    <w:rsid w:val="004423A9"/>
    <w:rsid w:val="00480DEB"/>
    <w:rsid w:val="00481529"/>
    <w:rsid w:val="004857ED"/>
    <w:rsid w:val="004C3D5A"/>
    <w:rsid w:val="004D7DBC"/>
    <w:rsid w:val="00501FCC"/>
    <w:rsid w:val="00525CA5"/>
    <w:rsid w:val="005261CC"/>
    <w:rsid w:val="00531955"/>
    <w:rsid w:val="00546AAA"/>
    <w:rsid w:val="005529CC"/>
    <w:rsid w:val="0056173B"/>
    <w:rsid w:val="005A3EFE"/>
    <w:rsid w:val="005A4EE8"/>
    <w:rsid w:val="005A6FB3"/>
    <w:rsid w:val="005C118C"/>
    <w:rsid w:val="005C3022"/>
    <w:rsid w:val="005E3034"/>
    <w:rsid w:val="005F5D1E"/>
    <w:rsid w:val="00600741"/>
    <w:rsid w:val="0062037C"/>
    <w:rsid w:val="006224FD"/>
    <w:rsid w:val="00624088"/>
    <w:rsid w:val="006270BA"/>
    <w:rsid w:val="00630CC1"/>
    <w:rsid w:val="00660875"/>
    <w:rsid w:val="006741B7"/>
    <w:rsid w:val="00682032"/>
    <w:rsid w:val="006903D9"/>
    <w:rsid w:val="00693F8C"/>
    <w:rsid w:val="006C57C2"/>
    <w:rsid w:val="006D15DA"/>
    <w:rsid w:val="006E461B"/>
    <w:rsid w:val="006F7176"/>
    <w:rsid w:val="007150BE"/>
    <w:rsid w:val="0072795E"/>
    <w:rsid w:val="00735D8C"/>
    <w:rsid w:val="00736465"/>
    <w:rsid w:val="00736FB8"/>
    <w:rsid w:val="0073742B"/>
    <w:rsid w:val="00774ED7"/>
    <w:rsid w:val="00780296"/>
    <w:rsid w:val="007A6A2A"/>
    <w:rsid w:val="007B40CD"/>
    <w:rsid w:val="007C7B3C"/>
    <w:rsid w:val="007E10C3"/>
    <w:rsid w:val="007E1150"/>
    <w:rsid w:val="007E357A"/>
    <w:rsid w:val="007F7261"/>
    <w:rsid w:val="00803A18"/>
    <w:rsid w:val="00823D31"/>
    <w:rsid w:val="008446E5"/>
    <w:rsid w:val="0085774E"/>
    <w:rsid w:val="00870D79"/>
    <w:rsid w:val="008725E3"/>
    <w:rsid w:val="00892E6F"/>
    <w:rsid w:val="008A1B00"/>
    <w:rsid w:val="008B0C8D"/>
    <w:rsid w:val="008B2A19"/>
    <w:rsid w:val="008C6F41"/>
    <w:rsid w:val="008D066F"/>
    <w:rsid w:val="008D2BB4"/>
    <w:rsid w:val="008E7650"/>
    <w:rsid w:val="008F4199"/>
    <w:rsid w:val="0092067A"/>
    <w:rsid w:val="00934F4D"/>
    <w:rsid w:val="00937BEC"/>
    <w:rsid w:val="009833BE"/>
    <w:rsid w:val="00996560"/>
    <w:rsid w:val="009B2399"/>
    <w:rsid w:val="009B6F06"/>
    <w:rsid w:val="009C289F"/>
    <w:rsid w:val="009F6389"/>
    <w:rsid w:val="009F6E00"/>
    <w:rsid w:val="00A04D9B"/>
    <w:rsid w:val="00A1207D"/>
    <w:rsid w:val="00A2238F"/>
    <w:rsid w:val="00A35D04"/>
    <w:rsid w:val="00A4160C"/>
    <w:rsid w:val="00A67110"/>
    <w:rsid w:val="00A91EFF"/>
    <w:rsid w:val="00AA121B"/>
    <w:rsid w:val="00AA2799"/>
    <w:rsid w:val="00AA4FDA"/>
    <w:rsid w:val="00AB0BE3"/>
    <w:rsid w:val="00AB40F4"/>
    <w:rsid w:val="00AD060E"/>
    <w:rsid w:val="00AF29C8"/>
    <w:rsid w:val="00AF44DB"/>
    <w:rsid w:val="00AF582E"/>
    <w:rsid w:val="00AF5EAA"/>
    <w:rsid w:val="00B0193E"/>
    <w:rsid w:val="00B01A55"/>
    <w:rsid w:val="00B02933"/>
    <w:rsid w:val="00B04BB5"/>
    <w:rsid w:val="00B1374D"/>
    <w:rsid w:val="00B140A7"/>
    <w:rsid w:val="00B16CAE"/>
    <w:rsid w:val="00B24A13"/>
    <w:rsid w:val="00B4688C"/>
    <w:rsid w:val="00B60343"/>
    <w:rsid w:val="00B62C77"/>
    <w:rsid w:val="00B65385"/>
    <w:rsid w:val="00B76BE4"/>
    <w:rsid w:val="00B818DE"/>
    <w:rsid w:val="00B86037"/>
    <w:rsid w:val="00B87CBF"/>
    <w:rsid w:val="00BA3FB7"/>
    <w:rsid w:val="00BC2A94"/>
    <w:rsid w:val="00BE646E"/>
    <w:rsid w:val="00BF469D"/>
    <w:rsid w:val="00C02DA7"/>
    <w:rsid w:val="00C31937"/>
    <w:rsid w:val="00C338B5"/>
    <w:rsid w:val="00C47C0D"/>
    <w:rsid w:val="00C53F9F"/>
    <w:rsid w:val="00C85D4B"/>
    <w:rsid w:val="00C87E44"/>
    <w:rsid w:val="00CC2619"/>
    <w:rsid w:val="00CF10E1"/>
    <w:rsid w:val="00CF131E"/>
    <w:rsid w:val="00D158BC"/>
    <w:rsid w:val="00D17BB9"/>
    <w:rsid w:val="00D41D06"/>
    <w:rsid w:val="00D660A0"/>
    <w:rsid w:val="00D67566"/>
    <w:rsid w:val="00D71963"/>
    <w:rsid w:val="00D9701F"/>
    <w:rsid w:val="00DB7F74"/>
    <w:rsid w:val="00DC3DA9"/>
    <w:rsid w:val="00E109F7"/>
    <w:rsid w:val="00E10E41"/>
    <w:rsid w:val="00E3258C"/>
    <w:rsid w:val="00E474C4"/>
    <w:rsid w:val="00E74C09"/>
    <w:rsid w:val="00EA6B18"/>
    <w:rsid w:val="00EB0F25"/>
    <w:rsid w:val="00EB40BC"/>
    <w:rsid w:val="00EB567C"/>
    <w:rsid w:val="00EC50B1"/>
    <w:rsid w:val="00EC59B6"/>
    <w:rsid w:val="00ED26BF"/>
    <w:rsid w:val="00F041F1"/>
    <w:rsid w:val="00F041FC"/>
    <w:rsid w:val="00F13190"/>
    <w:rsid w:val="00F45FBA"/>
    <w:rsid w:val="00F76609"/>
    <w:rsid w:val="00F85760"/>
    <w:rsid w:val="00F947C7"/>
    <w:rsid w:val="00F97B7C"/>
    <w:rsid w:val="00FB6B5C"/>
    <w:rsid w:val="00FC22B1"/>
    <w:rsid w:val="00FC6AE4"/>
    <w:rsid w:val="00FC6E7B"/>
    <w:rsid w:val="00FE118E"/>
    <w:rsid w:val="00FF0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62141"/>
  <w15:chartTrackingRefBased/>
  <w15:docId w15:val="{70E9D21D-600F-45D2-A065-D26CD47B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913"/>
    <w:pPr>
      <w:spacing w:after="0" w:line="240" w:lineRule="auto"/>
    </w:pPr>
    <w:rPr>
      <w:rFonts w:ascii="Calibri" w:hAnsi="Calibri" w:cs="Calibri"/>
    </w:rPr>
  </w:style>
  <w:style w:type="paragraph" w:styleId="Heading1">
    <w:name w:val="heading 1"/>
    <w:basedOn w:val="Normal"/>
    <w:next w:val="Normal"/>
    <w:link w:val="Heading1Char"/>
    <w:uiPriority w:val="9"/>
    <w:qFormat/>
    <w:rsid w:val="00000C5E"/>
    <w:pPr>
      <w:keepNext/>
      <w:keepLines/>
      <w:spacing w:before="240"/>
      <w:outlineLvl w:val="0"/>
    </w:pPr>
    <w:rPr>
      <w:rFonts w:asciiTheme="majorHAnsi" w:eastAsiaTheme="majorEastAsia" w:hAnsiTheme="majorHAnsi" w:cstheme="majorBidi"/>
      <w:color w:val="AC005D" w:themeColor="accent1" w:themeShade="BF"/>
      <w:sz w:val="32"/>
      <w:szCs w:val="32"/>
    </w:rPr>
  </w:style>
  <w:style w:type="paragraph" w:styleId="Heading2">
    <w:name w:val="heading 2"/>
    <w:basedOn w:val="Normal"/>
    <w:next w:val="Normal"/>
    <w:link w:val="Heading2Char"/>
    <w:uiPriority w:val="9"/>
    <w:unhideWhenUsed/>
    <w:qFormat/>
    <w:rsid w:val="00000C5E"/>
    <w:pPr>
      <w:keepNext/>
      <w:keepLines/>
      <w:spacing w:before="40"/>
      <w:outlineLvl w:val="1"/>
    </w:pPr>
    <w:rPr>
      <w:rFonts w:asciiTheme="majorHAnsi" w:eastAsiaTheme="majorEastAsia" w:hAnsiTheme="majorHAnsi" w:cstheme="majorBidi"/>
      <w:color w:val="AC005D" w:themeColor="accent1" w:themeShade="BF"/>
      <w:sz w:val="26"/>
      <w:szCs w:val="26"/>
    </w:rPr>
  </w:style>
  <w:style w:type="paragraph" w:styleId="Heading3">
    <w:name w:val="heading 3"/>
    <w:basedOn w:val="Normal"/>
    <w:next w:val="Normal"/>
    <w:link w:val="Heading3Char"/>
    <w:uiPriority w:val="9"/>
    <w:unhideWhenUsed/>
    <w:qFormat/>
    <w:rsid w:val="00000C5E"/>
    <w:pPr>
      <w:keepNext/>
      <w:keepLines/>
      <w:spacing w:before="40"/>
      <w:outlineLvl w:val="2"/>
    </w:pPr>
    <w:rPr>
      <w:rFonts w:asciiTheme="majorHAnsi" w:eastAsiaTheme="majorEastAsia" w:hAnsiTheme="majorHAnsi" w:cstheme="majorBidi"/>
      <w:color w:val="72003E" w:themeColor="accent1" w:themeShade="7F"/>
      <w:sz w:val="24"/>
      <w:szCs w:val="24"/>
    </w:rPr>
  </w:style>
  <w:style w:type="paragraph" w:styleId="Heading4">
    <w:name w:val="heading 4"/>
    <w:basedOn w:val="Normal"/>
    <w:next w:val="Normal"/>
    <w:link w:val="Heading4Char"/>
    <w:uiPriority w:val="9"/>
    <w:unhideWhenUsed/>
    <w:qFormat/>
    <w:rsid w:val="00000C5E"/>
    <w:pPr>
      <w:keepNext/>
      <w:keepLines/>
      <w:spacing w:before="40"/>
      <w:outlineLvl w:val="3"/>
    </w:pPr>
    <w:rPr>
      <w:rFonts w:asciiTheme="majorHAnsi" w:eastAsiaTheme="majorEastAsia" w:hAnsiTheme="majorHAnsi" w:cstheme="majorBidi"/>
      <w:i/>
      <w:iCs/>
      <w:color w:val="AC005D" w:themeColor="accent1" w:themeShade="BF"/>
    </w:rPr>
  </w:style>
  <w:style w:type="paragraph" w:styleId="Heading5">
    <w:name w:val="heading 5"/>
    <w:basedOn w:val="Normal"/>
    <w:next w:val="Normal"/>
    <w:link w:val="Heading5Char"/>
    <w:uiPriority w:val="9"/>
    <w:unhideWhenUsed/>
    <w:qFormat/>
    <w:rsid w:val="00000C5E"/>
    <w:pPr>
      <w:keepNext/>
      <w:keepLines/>
      <w:spacing w:before="40"/>
      <w:outlineLvl w:val="4"/>
    </w:pPr>
    <w:rPr>
      <w:rFonts w:asciiTheme="majorHAnsi" w:eastAsiaTheme="majorEastAsia" w:hAnsiTheme="majorHAnsi" w:cstheme="majorBidi"/>
      <w:color w:val="AC005D" w:themeColor="accent1" w:themeShade="BF"/>
    </w:rPr>
  </w:style>
  <w:style w:type="paragraph" w:styleId="Heading6">
    <w:name w:val="heading 6"/>
    <w:basedOn w:val="Normal"/>
    <w:next w:val="Normal"/>
    <w:link w:val="Heading6Char"/>
    <w:uiPriority w:val="9"/>
    <w:unhideWhenUsed/>
    <w:qFormat/>
    <w:rsid w:val="00000C5E"/>
    <w:pPr>
      <w:keepNext/>
      <w:keepLines/>
      <w:spacing w:before="40"/>
      <w:outlineLvl w:val="5"/>
    </w:pPr>
    <w:rPr>
      <w:rFonts w:asciiTheme="majorHAnsi" w:eastAsiaTheme="majorEastAsia" w:hAnsiTheme="majorHAnsi" w:cstheme="majorBidi"/>
      <w:color w:val="72003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9BD"/>
    <w:pPr>
      <w:ind w:left="720"/>
      <w:contextualSpacing/>
    </w:pPr>
    <w:rPr>
      <w:rFonts w:cs="Times New Roman"/>
    </w:rPr>
  </w:style>
  <w:style w:type="character" w:customStyle="1" w:styleId="Heading1Char">
    <w:name w:val="Heading 1 Char"/>
    <w:basedOn w:val="DefaultParagraphFont"/>
    <w:link w:val="Heading1"/>
    <w:uiPriority w:val="9"/>
    <w:rsid w:val="00000C5E"/>
    <w:rPr>
      <w:rFonts w:asciiTheme="majorHAnsi" w:eastAsiaTheme="majorEastAsia" w:hAnsiTheme="majorHAnsi" w:cstheme="majorBidi"/>
      <w:color w:val="AC005D" w:themeColor="accent1" w:themeShade="BF"/>
      <w:sz w:val="32"/>
      <w:szCs w:val="32"/>
    </w:rPr>
  </w:style>
  <w:style w:type="character" w:customStyle="1" w:styleId="Heading2Char">
    <w:name w:val="Heading 2 Char"/>
    <w:basedOn w:val="DefaultParagraphFont"/>
    <w:link w:val="Heading2"/>
    <w:uiPriority w:val="9"/>
    <w:rsid w:val="00000C5E"/>
    <w:rPr>
      <w:rFonts w:asciiTheme="majorHAnsi" w:eastAsiaTheme="majorEastAsia" w:hAnsiTheme="majorHAnsi" w:cstheme="majorBidi"/>
      <w:color w:val="AC005D" w:themeColor="accent1" w:themeShade="BF"/>
      <w:sz w:val="26"/>
      <w:szCs w:val="26"/>
    </w:rPr>
  </w:style>
  <w:style w:type="character" w:customStyle="1" w:styleId="Heading3Char">
    <w:name w:val="Heading 3 Char"/>
    <w:basedOn w:val="DefaultParagraphFont"/>
    <w:link w:val="Heading3"/>
    <w:uiPriority w:val="9"/>
    <w:rsid w:val="00000C5E"/>
    <w:rPr>
      <w:rFonts w:asciiTheme="majorHAnsi" w:eastAsiaTheme="majorEastAsia" w:hAnsiTheme="majorHAnsi" w:cstheme="majorBidi"/>
      <w:color w:val="72003E" w:themeColor="accent1" w:themeShade="7F"/>
      <w:sz w:val="24"/>
      <w:szCs w:val="24"/>
    </w:rPr>
  </w:style>
  <w:style w:type="character" w:customStyle="1" w:styleId="Heading4Char">
    <w:name w:val="Heading 4 Char"/>
    <w:basedOn w:val="DefaultParagraphFont"/>
    <w:link w:val="Heading4"/>
    <w:uiPriority w:val="9"/>
    <w:rsid w:val="00000C5E"/>
    <w:rPr>
      <w:rFonts w:asciiTheme="majorHAnsi" w:eastAsiaTheme="majorEastAsia" w:hAnsiTheme="majorHAnsi" w:cstheme="majorBidi"/>
      <w:i/>
      <w:iCs/>
      <w:color w:val="AC005D" w:themeColor="accent1" w:themeShade="BF"/>
    </w:rPr>
  </w:style>
  <w:style w:type="character" w:customStyle="1" w:styleId="Heading5Char">
    <w:name w:val="Heading 5 Char"/>
    <w:basedOn w:val="DefaultParagraphFont"/>
    <w:link w:val="Heading5"/>
    <w:uiPriority w:val="9"/>
    <w:rsid w:val="00000C5E"/>
    <w:rPr>
      <w:rFonts w:asciiTheme="majorHAnsi" w:eastAsiaTheme="majorEastAsia" w:hAnsiTheme="majorHAnsi" w:cstheme="majorBidi"/>
      <w:color w:val="AC005D" w:themeColor="accent1" w:themeShade="BF"/>
    </w:rPr>
  </w:style>
  <w:style w:type="character" w:customStyle="1" w:styleId="Heading6Char">
    <w:name w:val="Heading 6 Char"/>
    <w:basedOn w:val="DefaultParagraphFont"/>
    <w:link w:val="Heading6"/>
    <w:uiPriority w:val="9"/>
    <w:rsid w:val="00000C5E"/>
    <w:rPr>
      <w:rFonts w:asciiTheme="majorHAnsi" w:eastAsiaTheme="majorEastAsia" w:hAnsiTheme="majorHAnsi" w:cstheme="majorBidi"/>
      <w:color w:val="72003E" w:themeColor="accent1" w:themeShade="7F"/>
    </w:rPr>
  </w:style>
  <w:style w:type="character" w:styleId="Hyperlink">
    <w:name w:val="Hyperlink"/>
    <w:basedOn w:val="DefaultParagraphFont"/>
    <w:uiPriority w:val="99"/>
    <w:unhideWhenUsed/>
    <w:rsid w:val="008725E3"/>
    <w:rPr>
      <w:color w:val="E6007E" w:themeColor="hyperlink"/>
      <w:u w:val="single"/>
    </w:rPr>
  </w:style>
  <w:style w:type="character" w:styleId="CommentReference">
    <w:name w:val="annotation reference"/>
    <w:basedOn w:val="DefaultParagraphFont"/>
    <w:uiPriority w:val="99"/>
    <w:semiHidden/>
    <w:unhideWhenUsed/>
    <w:rsid w:val="00201A9C"/>
    <w:rPr>
      <w:sz w:val="16"/>
      <w:szCs w:val="16"/>
    </w:rPr>
  </w:style>
  <w:style w:type="paragraph" w:styleId="CommentText">
    <w:name w:val="annotation text"/>
    <w:basedOn w:val="Normal"/>
    <w:link w:val="CommentTextChar"/>
    <w:uiPriority w:val="99"/>
    <w:semiHidden/>
    <w:unhideWhenUsed/>
    <w:rsid w:val="00201A9C"/>
    <w:rPr>
      <w:sz w:val="20"/>
      <w:szCs w:val="20"/>
    </w:rPr>
  </w:style>
  <w:style w:type="character" w:customStyle="1" w:styleId="CommentTextChar">
    <w:name w:val="Comment Text Char"/>
    <w:basedOn w:val="DefaultParagraphFont"/>
    <w:link w:val="CommentText"/>
    <w:uiPriority w:val="99"/>
    <w:semiHidden/>
    <w:rsid w:val="00201A9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01A9C"/>
    <w:rPr>
      <w:b/>
      <w:bCs/>
    </w:rPr>
  </w:style>
  <w:style w:type="character" w:customStyle="1" w:styleId="CommentSubjectChar">
    <w:name w:val="Comment Subject Char"/>
    <w:basedOn w:val="CommentTextChar"/>
    <w:link w:val="CommentSubject"/>
    <w:uiPriority w:val="99"/>
    <w:semiHidden/>
    <w:rsid w:val="00201A9C"/>
    <w:rPr>
      <w:rFonts w:ascii="Calibri" w:hAnsi="Calibri" w:cs="Calibri"/>
      <w:b/>
      <w:bCs/>
      <w:sz w:val="20"/>
      <w:szCs w:val="20"/>
    </w:rPr>
  </w:style>
  <w:style w:type="paragraph" w:styleId="BalloonText">
    <w:name w:val="Balloon Text"/>
    <w:basedOn w:val="Normal"/>
    <w:link w:val="BalloonTextChar"/>
    <w:uiPriority w:val="99"/>
    <w:semiHidden/>
    <w:unhideWhenUsed/>
    <w:rsid w:val="00201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A9C"/>
    <w:rPr>
      <w:rFonts w:ascii="Segoe UI" w:hAnsi="Segoe UI" w:cs="Segoe UI"/>
      <w:sz w:val="18"/>
      <w:szCs w:val="18"/>
    </w:rPr>
  </w:style>
  <w:style w:type="character" w:styleId="FollowedHyperlink">
    <w:name w:val="FollowedHyperlink"/>
    <w:basedOn w:val="DefaultParagraphFont"/>
    <w:uiPriority w:val="99"/>
    <w:semiHidden/>
    <w:unhideWhenUsed/>
    <w:rsid w:val="009833BE"/>
    <w:rPr>
      <w:color w:val="AC005E" w:themeColor="followedHyperlink"/>
      <w:u w:val="single"/>
    </w:rPr>
  </w:style>
  <w:style w:type="table" w:styleId="TableGrid">
    <w:name w:val="Table Grid"/>
    <w:basedOn w:val="TableNormal"/>
    <w:uiPriority w:val="39"/>
    <w:rsid w:val="000F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F4E7E"/>
    <w:rPr>
      <w:sz w:val="20"/>
      <w:szCs w:val="20"/>
    </w:rPr>
  </w:style>
  <w:style w:type="character" w:customStyle="1" w:styleId="FootnoteTextChar">
    <w:name w:val="Footnote Text Char"/>
    <w:basedOn w:val="DefaultParagraphFont"/>
    <w:link w:val="FootnoteText"/>
    <w:uiPriority w:val="99"/>
    <w:rsid w:val="000F4E7E"/>
    <w:rPr>
      <w:rFonts w:ascii="Calibri" w:hAnsi="Calibri" w:cs="Calibri"/>
      <w:sz w:val="20"/>
      <w:szCs w:val="20"/>
    </w:rPr>
  </w:style>
  <w:style w:type="character" w:styleId="FootnoteReference">
    <w:name w:val="footnote reference"/>
    <w:basedOn w:val="DefaultParagraphFont"/>
    <w:uiPriority w:val="99"/>
    <w:semiHidden/>
    <w:unhideWhenUsed/>
    <w:rsid w:val="000F4E7E"/>
    <w:rPr>
      <w:vertAlign w:val="superscript"/>
    </w:rPr>
  </w:style>
  <w:style w:type="paragraph" w:styleId="Header">
    <w:name w:val="header"/>
    <w:basedOn w:val="Normal"/>
    <w:link w:val="HeaderChar"/>
    <w:uiPriority w:val="99"/>
    <w:unhideWhenUsed/>
    <w:rsid w:val="00F85760"/>
    <w:pPr>
      <w:tabs>
        <w:tab w:val="center" w:pos="4513"/>
        <w:tab w:val="right" w:pos="9026"/>
      </w:tabs>
    </w:pPr>
  </w:style>
  <w:style w:type="character" w:customStyle="1" w:styleId="HeaderChar">
    <w:name w:val="Header Char"/>
    <w:basedOn w:val="DefaultParagraphFont"/>
    <w:link w:val="Header"/>
    <w:uiPriority w:val="99"/>
    <w:rsid w:val="00F85760"/>
    <w:rPr>
      <w:rFonts w:ascii="Calibri" w:hAnsi="Calibri" w:cs="Calibri"/>
    </w:rPr>
  </w:style>
  <w:style w:type="paragraph" w:styleId="Footer">
    <w:name w:val="footer"/>
    <w:basedOn w:val="Normal"/>
    <w:link w:val="FooterChar"/>
    <w:uiPriority w:val="99"/>
    <w:unhideWhenUsed/>
    <w:rsid w:val="00F85760"/>
    <w:pPr>
      <w:tabs>
        <w:tab w:val="center" w:pos="4513"/>
        <w:tab w:val="right" w:pos="9026"/>
      </w:tabs>
    </w:pPr>
  </w:style>
  <w:style w:type="character" w:customStyle="1" w:styleId="FooterChar">
    <w:name w:val="Footer Char"/>
    <w:basedOn w:val="DefaultParagraphFont"/>
    <w:link w:val="Footer"/>
    <w:uiPriority w:val="99"/>
    <w:rsid w:val="00F85760"/>
    <w:rPr>
      <w:rFonts w:ascii="Calibri" w:hAnsi="Calibri" w:cs="Calibri"/>
    </w:rPr>
  </w:style>
  <w:style w:type="paragraph" w:styleId="Revision">
    <w:name w:val="Revision"/>
    <w:hidden/>
    <w:uiPriority w:val="99"/>
    <w:semiHidden/>
    <w:rsid w:val="00072460"/>
    <w:pPr>
      <w:spacing w:after="0" w:line="240" w:lineRule="auto"/>
    </w:pPr>
    <w:rPr>
      <w:rFonts w:ascii="Calibri" w:hAnsi="Calibri" w:cs="Calibri"/>
    </w:rPr>
  </w:style>
  <w:style w:type="paragraph" w:styleId="TOCHeading">
    <w:name w:val="TOC Heading"/>
    <w:basedOn w:val="Heading1"/>
    <w:next w:val="Normal"/>
    <w:uiPriority w:val="39"/>
    <w:unhideWhenUsed/>
    <w:qFormat/>
    <w:rsid w:val="00774ED7"/>
    <w:pPr>
      <w:spacing w:line="259" w:lineRule="auto"/>
      <w:outlineLvl w:val="9"/>
    </w:pPr>
    <w:rPr>
      <w:lang w:val="en-US"/>
    </w:rPr>
  </w:style>
  <w:style w:type="paragraph" w:styleId="TOC1">
    <w:name w:val="toc 1"/>
    <w:basedOn w:val="Normal"/>
    <w:next w:val="Normal"/>
    <w:autoRedefine/>
    <w:uiPriority w:val="39"/>
    <w:unhideWhenUsed/>
    <w:rsid w:val="00774ED7"/>
    <w:pPr>
      <w:spacing w:after="100"/>
    </w:pPr>
  </w:style>
  <w:style w:type="paragraph" w:styleId="TOC2">
    <w:name w:val="toc 2"/>
    <w:basedOn w:val="Normal"/>
    <w:next w:val="Normal"/>
    <w:autoRedefine/>
    <w:uiPriority w:val="39"/>
    <w:unhideWhenUsed/>
    <w:rsid w:val="00774ED7"/>
    <w:pPr>
      <w:spacing w:after="100"/>
      <w:ind w:left="220"/>
    </w:pPr>
  </w:style>
  <w:style w:type="paragraph" w:styleId="TOC3">
    <w:name w:val="toc 3"/>
    <w:basedOn w:val="Normal"/>
    <w:next w:val="Normal"/>
    <w:autoRedefine/>
    <w:uiPriority w:val="39"/>
    <w:unhideWhenUsed/>
    <w:rsid w:val="00774ED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3822">
      <w:bodyDiv w:val="1"/>
      <w:marLeft w:val="0"/>
      <w:marRight w:val="0"/>
      <w:marTop w:val="0"/>
      <w:marBottom w:val="0"/>
      <w:divBdr>
        <w:top w:val="none" w:sz="0" w:space="0" w:color="auto"/>
        <w:left w:val="none" w:sz="0" w:space="0" w:color="auto"/>
        <w:bottom w:val="none" w:sz="0" w:space="0" w:color="auto"/>
        <w:right w:val="none" w:sz="0" w:space="0" w:color="auto"/>
      </w:divBdr>
    </w:div>
    <w:div w:id="192887531">
      <w:bodyDiv w:val="1"/>
      <w:marLeft w:val="0"/>
      <w:marRight w:val="0"/>
      <w:marTop w:val="0"/>
      <w:marBottom w:val="0"/>
      <w:divBdr>
        <w:top w:val="none" w:sz="0" w:space="0" w:color="auto"/>
        <w:left w:val="none" w:sz="0" w:space="0" w:color="auto"/>
        <w:bottom w:val="none" w:sz="0" w:space="0" w:color="auto"/>
        <w:right w:val="none" w:sz="0" w:space="0" w:color="auto"/>
      </w:divBdr>
    </w:div>
    <w:div w:id="216280677">
      <w:bodyDiv w:val="1"/>
      <w:marLeft w:val="0"/>
      <w:marRight w:val="0"/>
      <w:marTop w:val="0"/>
      <w:marBottom w:val="0"/>
      <w:divBdr>
        <w:top w:val="none" w:sz="0" w:space="0" w:color="auto"/>
        <w:left w:val="none" w:sz="0" w:space="0" w:color="auto"/>
        <w:bottom w:val="none" w:sz="0" w:space="0" w:color="auto"/>
        <w:right w:val="none" w:sz="0" w:space="0" w:color="auto"/>
      </w:divBdr>
    </w:div>
    <w:div w:id="329329337">
      <w:bodyDiv w:val="1"/>
      <w:marLeft w:val="0"/>
      <w:marRight w:val="0"/>
      <w:marTop w:val="0"/>
      <w:marBottom w:val="0"/>
      <w:divBdr>
        <w:top w:val="none" w:sz="0" w:space="0" w:color="auto"/>
        <w:left w:val="none" w:sz="0" w:space="0" w:color="auto"/>
        <w:bottom w:val="none" w:sz="0" w:space="0" w:color="auto"/>
        <w:right w:val="none" w:sz="0" w:space="0" w:color="auto"/>
      </w:divBdr>
    </w:div>
    <w:div w:id="507789630">
      <w:bodyDiv w:val="1"/>
      <w:marLeft w:val="0"/>
      <w:marRight w:val="0"/>
      <w:marTop w:val="0"/>
      <w:marBottom w:val="0"/>
      <w:divBdr>
        <w:top w:val="none" w:sz="0" w:space="0" w:color="auto"/>
        <w:left w:val="none" w:sz="0" w:space="0" w:color="auto"/>
        <w:bottom w:val="none" w:sz="0" w:space="0" w:color="auto"/>
        <w:right w:val="none" w:sz="0" w:space="0" w:color="auto"/>
      </w:divBdr>
    </w:div>
    <w:div w:id="509686036">
      <w:bodyDiv w:val="1"/>
      <w:marLeft w:val="0"/>
      <w:marRight w:val="0"/>
      <w:marTop w:val="0"/>
      <w:marBottom w:val="0"/>
      <w:divBdr>
        <w:top w:val="none" w:sz="0" w:space="0" w:color="auto"/>
        <w:left w:val="none" w:sz="0" w:space="0" w:color="auto"/>
        <w:bottom w:val="none" w:sz="0" w:space="0" w:color="auto"/>
        <w:right w:val="none" w:sz="0" w:space="0" w:color="auto"/>
      </w:divBdr>
    </w:div>
    <w:div w:id="598756579">
      <w:bodyDiv w:val="1"/>
      <w:marLeft w:val="0"/>
      <w:marRight w:val="0"/>
      <w:marTop w:val="0"/>
      <w:marBottom w:val="0"/>
      <w:divBdr>
        <w:top w:val="none" w:sz="0" w:space="0" w:color="auto"/>
        <w:left w:val="none" w:sz="0" w:space="0" w:color="auto"/>
        <w:bottom w:val="none" w:sz="0" w:space="0" w:color="auto"/>
        <w:right w:val="none" w:sz="0" w:space="0" w:color="auto"/>
      </w:divBdr>
    </w:div>
    <w:div w:id="600842900">
      <w:bodyDiv w:val="1"/>
      <w:marLeft w:val="0"/>
      <w:marRight w:val="0"/>
      <w:marTop w:val="0"/>
      <w:marBottom w:val="0"/>
      <w:divBdr>
        <w:top w:val="none" w:sz="0" w:space="0" w:color="auto"/>
        <w:left w:val="none" w:sz="0" w:space="0" w:color="auto"/>
        <w:bottom w:val="none" w:sz="0" w:space="0" w:color="auto"/>
        <w:right w:val="none" w:sz="0" w:space="0" w:color="auto"/>
      </w:divBdr>
    </w:div>
    <w:div w:id="733427742">
      <w:bodyDiv w:val="1"/>
      <w:marLeft w:val="0"/>
      <w:marRight w:val="0"/>
      <w:marTop w:val="0"/>
      <w:marBottom w:val="0"/>
      <w:divBdr>
        <w:top w:val="none" w:sz="0" w:space="0" w:color="auto"/>
        <w:left w:val="none" w:sz="0" w:space="0" w:color="auto"/>
        <w:bottom w:val="none" w:sz="0" w:space="0" w:color="auto"/>
        <w:right w:val="none" w:sz="0" w:space="0" w:color="auto"/>
      </w:divBdr>
    </w:div>
    <w:div w:id="760414318">
      <w:bodyDiv w:val="1"/>
      <w:marLeft w:val="0"/>
      <w:marRight w:val="0"/>
      <w:marTop w:val="0"/>
      <w:marBottom w:val="0"/>
      <w:divBdr>
        <w:top w:val="none" w:sz="0" w:space="0" w:color="auto"/>
        <w:left w:val="none" w:sz="0" w:space="0" w:color="auto"/>
        <w:bottom w:val="none" w:sz="0" w:space="0" w:color="auto"/>
        <w:right w:val="none" w:sz="0" w:space="0" w:color="auto"/>
      </w:divBdr>
    </w:div>
    <w:div w:id="788356663">
      <w:bodyDiv w:val="1"/>
      <w:marLeft w:val="0"/>
      <w:marRight w:val="0"/>
      <w:marTop w:val="0"/>
      <w:marBottom w:val="0"/>
      <w:divBdr>
        <w:top w:val="none" w:sz="0" w:space="0" w:color="auto"/>
        <w:left w:val="none" w:sz="0" w:space="0" w:color="auto"/>
        <w:bottom w:val="none" w:sz="0" w:space="0" w:color="auto"/>
        <w:right w:val="none" w:sz="0" w:space="0" w:color="auto"/>
      </w:divBdr>
    </w:div>
    <w:div w:id="808939666">
      <w:bodyDiv w:val="1"/>
      <w:marLeft w:val="0"/>
      <w:marRight w:val="0"/>
      <w:marTop w:val="0"/>
      <w:marBottom w:val="0"/>
      <w:divBdr>
        <w:top w:val="none" w:sz="0" w:space="0" w:color="auto"/>
        <w:left w:val="none" w:sz="0" w:space="0" w:color="auto"/>
        <w:bottom w:val="none" w:sz="0" w:space="0" w:color="auto"/>
        <w:right w:val="none" w:sz="0" w:space="0" w:color="auto"/>
      </w:divBdr>
    </w:div>
    <w:div w:id="960113082">
      <w:bodyDiv w:val="1"/>
      <w:marLeft w:val="0"/>
      <w:marRight w:val="0"/>
      <w:marTop w:val="0"/>
      <w:marBottom w:val="0"/>
      <w:divBdr>
        <w:top w:val="none" w:sz="0" w:space="0" w:color="auto"/>
        <w:left w:val="none" w:sz="0" w:space="0" w:color="auto"/>
        <w:bottom w:val="none" w:sz="0" w:space="0" w:color="auto"/>
        <w:right w:val="none" w:sz="0" w:space="0" w:color="auto"/>
      </w:divBdr>
    </w:div>
    <w:div w:id="987781612">
      <w:bodyDiv w:val="1"/>
      <w:marLeft w:val="0"/>
      <w:marRight w:val="0"/>
      <w:marTop w:val="0"/>
      <w:marBottom w:val="0"/>
      <w:divBdr>
        <w:top w:val="none" w:sz="0" w:space="0" w:color="auto"/>
        <w:left w:val="none" w:sz="0" w:space="0" w:color="auto"/>
        <w:bottom w:val="none" w:sz="0" w:space="0" w:color="auto"/>
        <w:right w:val="none" w:sz="0" w:space="0" w:color="auto"/>
      </w:divBdr>
    </w:div>
    <w:div w:id="1014839170">
      <w:bodyDiv w:val="1"/>
      <w:marLeft w:val="0"/>
      <w:marRight w:val="0"/>
      <w:marTop w:val="0"/>
      <w:marBottom w:val="0"/>
      <w:divBdr>
        <w:top w:val="none" w:sz="0" w:space="0" w:color="auto"/>
        <w:left w:val="none" w:sz="0" w:space="0" w:color="auto"/>
        <w:bottom w:val="none" w:sz="0" w:space="0" w:color="auto"/>
        <w:right w:val="none" w:sz="0" w:space="0" w:color="auto"/>
      </w:divBdr>
    </w:div>
    <w:div w:id="1284768511">
      <w:bodyDiv w:val="1"/>
      <w:marLeft w:val="0"/>
      <w:marRight w:val="0"/>
      <w:marTop w:val="0"/>
      <w:marBottom w:val="0"/>
      <w:divBdr>
        <w:top w:val="none" w:sz="0" w:space="0" w:color="auto"/>
        <w:left w:val="none" w:sz="0" w:space="0" w:color="auto"/>
        <w:bottom w:val="none" w:sz="0" w:space="0" w:color="auto"/>
        <w:right w:val="none" w:sz="0" w:space="0" w:color="auto"/>
      </w:divBdr>
    </w:div>
    <w:div w:id="1318457774">
      <w:bodyDiv w:val="1"/>
      <w:marLeft w:val="0"/>
      <w:marRight w:val="0"/>
      <w:marTop w:val="0"/>
      <w:marBottom w:val="0"/>
      <w:divBdr>
        <w:top w:val="none" w:sz="0" w:space="0" w:color="auto"/>
        <w:left w:val="none" w:sz="0" w:space="0" w:color="auto"/>
        <w:bottom w:val="none" w:sz="0" w:space="0" w:color="auto"/>
        <w:right w:val="none" w:sz="0" w:space="0" w:color="auto"/>
      </w:divBdr>
    </w:div>
    <w:div w:id="1322656605">
      <w:bodyDiv w:val="1"/>
      <w:marLeft w:val="0"/>
      <w:marRight w:val="0"/>
      <w:marTop w:val="0"/>
      <w:marBottom w:val="0"/>
      <w:divBdr>
        <w:top w:val="none" w:sz="0" w:space="0" w:color="auto"/>
        <w:left w:val="none" w:sz="0" w:space="0" w:color="auto"/>
        <w:bottom w:val="none" w:sz="0" w:space="0" w:color="auto"/>
        <w:right w:val="none" w:sz="0" w:space="0" w:color="auto"/>
      </w:divBdr>
    </w:div>
    <w:div w:id="1334718829">
      <w:bodyDiv w:val="1"/>
      <w:marLeft w:val="0"/>
      <w:marRight w:val="0"/>
      <w:marTop w:val="0"/>
      <w:marBottom w:val="0"/>
      <w:divBdr>
        <w:top w:val="none" w:sz="0" w:space="0" w:color="auto"/>
        <w:left w:val="none" w:sz="0" w:space="0" w:color="auto"/>
        <w:bottom w:val="none" w:sz="0" w:space="0" w:color="auto"/>
        <w:right w:val="none" w:sz="0" w:space="0" w:color="auto"/>
      </w:divBdr>
    </w:div>
    <w:div w:id="1410269818">
      <w:bodyDiv w:val="1"/>
      <w:marLeft w:val="0"/>
      <w:marRight w:val="0"/>
      <w:marTop w:val="0"/>
      <w:marBottom w:val="0"/>
      <w:divBdr>
        <w:top w:val="none" w:sz="0" w:space="0" w:color="auto"/>
        <w:left w:val="none" w:sz="0" w:space="0" w:color="auto"/>
        <w:bottom w:val="none" w:sz="0" w:space="0" w:color="auto"/>
        <w:right w:val="none" w:sz="0" w:space="0" w:color="auto"/>
      </w:divBdr>
    </w:div>
    <w:div w:id="1576014091">
      <w:bodyDiv w:val="1"/>
      <w:marLeft w:val="0"/>
      <w:marRight w:val="0"/>
      <w:marTop w:val="0"/>
      <w:marBottom w:val="0"/>
      <w:divBdr>
        <w:top w:val="none" w:sz="0" w:space="0" w:color="auto"/>
        <w:left w:val="none" w:sz="0" w:space="0" w:color="auto"/>
        <w:bottom w:val="none" w:sz="0" w:space="0" w:color="auto"/>
        <w:right w:val="none" w:sz="0" w:space="0" w:color="auto"/>
      </w:divBdr>
    </w:div>
    <w:div w:id="1616867140">
      <w:bodyDiv w:val="1"/>
      <w:marLeft w:val="0"/>
      <w:marRight w:val="0"/>
      <w:marTop w:val="0"/>
      <w:marBottom w:val="0"/>
      <w:divBdr>
        <w:top w:val="none" w:sz="0" w:space="0" w:color="auto"/>
        <w:left w:val="none" w:sz="0" w:space="0" w:color="auto"/>
        <w:bottom w:val="none" w:sz="0" w:space="0" w:color="auto"/>
        <w:right w:val="none" w:sz="0" w:space="0" w:color="auto"/>
      </w:divBdr>
    </w:div>
    <w:div w:id="1647392273">
      <w:bodyDiv w:val="1"/>
      <w:marLeft w:val="0"/>
      <w:marRight w:val="0"/>
      <w:marTop w:val="0"/>
      <w:marBottom w:val="0"/>
      <w:divBdr>
        <w:top w:val="none" w:sz="0" w:space="0" w:color="auto"/>
        <w:left w:val="none" w:sz="0" w:space="0" w:color="auto"/>
        <w:bottom w:val="none" w:sz="0" w:space="0" w:color="auto"/>
        <w:right w:val="none" w:sz="0" w:space="0" w:color="auto"/>
      </w:divBdr>
    </w:div>
    <w:div w:id="1647780209">
      <w:bodyDiv w:val="1"/>
      <w:marLeft w:val="0"/>
      <w:marRight w:val="0"/>
      <w:marTop w:val="0"/>
      <w:marBottom w:val="0"/>
      <w:divBdr>
        <w:top w:val="none" w:sz="0" w:space="0" w:color="auto"/>
        <w:left w:val="none" w:sz="0" w:space="0" w:color="auto"/>
        <w:bottom w:val="none" w:sz="0" w:space="0" w:color="auto"/>
        <w:right w:val="none" w:sz="0" w:space="0" w:color="auto"/>
      </w:divBdr>
    </w:div>
    <w:div w:id="1664816548">
      <w:bodyDiv w:val="1"/>
      <w:marLeft w:val="0"/>
      <w:marRight w:val="0"/>
      <w:marTop w:val="0"/>
      <w:marBottom w:val="0"/>
      <w:divBdr>
        <w:top w:val="none" w:sz="0" w:space="0" w:color="auto"/>
        <w:left w:val="none" w:sz="0" w:space="0" w:color="auto"/>
        <w:bottom w:val="none" w:sz="0" w:space="0" w:color="auto"/>
        <w:right w:val="none" w:sz="0" w:space="0" w:color="auto"/>
      </w:divBdr>
    </w:div>
    <w:div w:id="1676033900">
      <w:bodyDiv w:val="1"/>
      <w:marLeft w:val="0"/>
      <w:marRight w:val="0"/>
      <w:marTop w:val="0"/>
      <w:marBottom w:val="0"/>
      <w:divBdr>
        <w:top w:val="none" w:sz="0" w:space="0" w:color="auto"/>
        <w:left w:val="none" w:sz="0" w:space="0" w:color="auto"/>
        <w:bottom w:val="none" w:sz="0" w:space="0" w:color="auto"/>
        <w:right w:val="none" w:sz="0" w:space="0" w:color="auto"/>
      </w:divBdr>
    </w:div>
    <w:div w:id="1812092288">
      <w:bodyDiv w:val="1"/>
      <w:marLeft w:val="0"/>
      <w:marRight w:val="0"/>
      <w:marTop w:val="0"/>
      <w:marBottom w:val="0"/>
      <w:divBdr>
        <w:top w:val="none" w:sz="0" w:space="0" w:color="auto"/>
        <w:left w:val="none" w:sz="0" w:space="0" w:color="auto"/>
        <w:bottom w:val="none" w:sz="0" w:space="0" w:color="auto"/>
        <w:right w:val="none" w:sz="0" w:space="0" w:color="auto"/>
      </w:divBdr>
    </w:div>
    <w:div w:id="2094545877">
      <w:bodyDiv w:val="1"/>
      <w:marLeft w:val="0"/>
      <w:marRight w:val="0"/>
      <w:marTop w:val="0"/>
      <w:marBottom w:val="0"/>
      <w:divBdr>
        <w:top w:val="none" w:sz="0" w:space="0" w:color="auto"/>
        <w:left w:val="none" w:sz="0" w:space="0" w:color="auto"/>
        <w:bottom w:val="none" w:sz="0" w:space="0" w:color="auto"/>
        <w:right w:val="none" w:sz="0" w:space="0" w:color="auto"/>
      </w:divBdr>
    </w:div>
    <w:div w:id="21383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ov.uk/government/collections/national-pupil-database" TargetMode="External"/><Relationship Id="rId14" Type="http://schemas.openxmlformats.org/officeDocument/2006/relationships/theme" Target="theme/theme1.xml"/></Relationships>
</file>

<file path=word/theme/theme1.xml><?xml version="1.0" encoding="utf-8"?>
<a:theme xmlns:a="http://schemas.openxmlformats.org/drawingml/2006/main" name="FFT">
  <a:themeElements>
    <a:clrScheme name="FFT">
      <a:dk1>
        <a:srgbClr val="535353"/>
      </a:dk1>
      <a:lt1>
        <a:sysClr val="window" lastClr="FFFFFF"/>
      </a:lt1>
      <a:dk2>
        <a:srgbClr val="959595"/>
      </a:dk2>
      <a:lt2>
        <a:srgbClr val="F3F3F3"/>
      </a:lt2>
      <a:accent1>
        <a:srgbClr val="E6007E"/>
      </a:accent1>
      <a:accent2>
        <a:srgbClr val="2DAAE1"/>
      </a:accent2>
      <a:accent3>
        <a:srgbClr val="96C103"/>
      </a:accent3>
      <a:accent4>
        <a:srgbClr val="EFA2CC"/>
      </a:accent4>
      <a:accent5>
        <a:srgbClr val="B1DBED"/>
      </a:accent5>
      <a:accent6>
        <a:srgbClr val="D4E2AC"/>
      </a:accent6>
      <a:hlink>
        <a:srgbClr val="E6007E"/>
      </a:hlink>
      <a:folHlink>
        <a:srgbClr val="AC005E"/>
      </a:folHlink>
    </a:clrScheme>
    <a:fontScheme name="FFT">
      <a:majorFont>
        <a:latin typeface="Avenir LT Std 55 Roman"/>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C0784-97C7-45F9-AAA0-1752FEFB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Nye</dc:creator>
  <cp:keywords/>
  <dc:description/>
  <cp:lastModifiedBy>Caitlin Watson</cp:lastModifiedBy>
  <cp:revision>2</cp:revision>
  <dcterms:created xsi:type="dcterms:W3CDTF">2020-11-23T16:32:00Z</dcterms:created>
  <dcterms:modified xsi:type="dcterms:W3CDTF">2020-11-23T16:32:00Z</dcterms:modified>
</cp:coreProperties>
</file>