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C7FF4" w14:textId="77777777" w:rsidR="004331C8" w:rsidRPr="0073582F" w:rsidRDefault="004331C8" w:rsidP="004331C8">
      <w:pPr>
        <w:pStyle w:val="Heading1"/>
        <w:contextualSpacing/>
        <w:rPr>
          <w:rFonts w:ascii="Avenir LT Std 35 Light" w:hAnsi="Avenir LT Std 35 Light"/>
          <w:lang w:val="en-US"/>
        </w:rPr>
      </w:pPr>
    </w:p>
    <w:p w14:paraId="0BD89348" w14:textId="03D3EB28" w:rsidR="004331C8" w:rsidRPr="0073582F" w:rsidRDefault="00FF773A" w:rsidP="004331C8">
      <w:pPr>
        <w:pStyle w:val="Heading1"/>
        <w:contextualSpacing/>
        <w:rPr>
          <w:rFonts w:ascii="Avenir LT Std 35 Light" w:hAnsi="Avenir LT Std 35 Light"/>
          <w:lang w:val="en-US"/>
        </w:rPr>
      </w:pPr>
      <w:bookmarkStart w:id="0" w:name="_Toc20304759"/>
      <w:bookmarkStart w:id="1" w:name="_Toc20306744"/>
      <w:bookmarkStart w:id="2" w:name="_Toc21691061"/>
      <w:bookmarkStart w:id="3" w:name="_Toc21963676"/>
      <w:bookmarkStart w:id="4" w:name="_Toc21963708"/>
      <w:bookmarkStart w:id="5" w:name="_Toc21963778"/>
      <w:bookmarkStart w:id="6" w:name="_Toc21963845"/>
      <w:bookmarkStart w:id="7" w:name="_Toc22027691"/>
      <w:bookmarkStart w:id="8" w:name="_Toc22033326"/>
      <w:r w:rsidRPr="0073582F">
        <w:rPr>
          <w:rFonts w:ascii="Avenir LT Std 35 Light" w:hAnsi="Avenir LT Std 35 Light"/>
          <w:noProof/>
          <w:lang w:eastAsia="en-GB"/>
        </w:rPr>
        <w:drawing>
          <wp:anchor distT="0" distB="0" distL="114300" distR="114300" simplePos="0" relativeHeight="251662336" behindDoc="0" locked="0" layoutInCell="1" allowOverlap="1" wp14:anchorId="73F1041E" wp14:editId="0037E1A6">
            <wp:simplePos x="0" y="0"/>
            <wp:positionH relativeFrom="margin">
              <wp:posOffset>0</wp:posOffset>
            </wp:positionH>
            <wp:positionV relativeFrom="margin">
              <wp:posOffset>648970</wp:posOffset>
            </wp:positionV>
            <wp:extent cx="1219200" cy="30035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T_EduDatalab_Logo_No_SL_on 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300355"/>
                    </a:xfrm>
                    <a:prstGeom prst="rect">
                      <a:avLst/>
                    </a:prstGeom>
                  </pic:spPr>
                </pic:pic>
              </a:graphicData>
            </a:graphic>
          </wp:anchor>
        </w:drawing>
      </w:r>
      <w:bookmarkEnd w:id="0"/>
      <w:bookmarkEnd w:id="1"/>
      <w:bookmarkEnd w:id="2"/>
      <w:bookmarkEnd w:id="3"/>
      <w:bookmarkEnd w:id="4"/>
      <w:bookmarkEnd w:id="5"/>
      <w:bookmarkEnd w:id="6"/>
      <w:bookmarkEnd w:id="7"/>
      <w:bookmarkEnd w:id="8"/>
    </w:p>
    <w:p w14:paraId="213B9D91" w14:textId="77777777" w:rsidR="004331C8" w:rsidRPr="0073582F" w:rsidRDefault="004331C8" w:rsidP="004331C8">
      <w:pPr>
        <w:pStyle w:val="Heading1"/>
        <w:contextualSpacing/>
        <w:rPr>
          <w:rFonts w:ascii="Avenir LT Std 35 Light" w:hAnsi="Avenir LT Std 35 Light"/>
          <w:lang w:val="en-US"/>
        </w:rPr>
      </w:pPr>
    </w:p>
    <w:p w14:paraId="526050AA" w14:textId="77777777" w:rsidR="004331C8" w:rsidRPr="0073582F" w:rsidRDefault="004331C8" w:rsidP="004331C8">
      <w:pPr>
        <w:pStyle w:val="Heading1"/>
        <w:contextualSpacing/>
        <w:rPr>
          <w:rFonts w:ascii="Avenir LT Std 35 Light" w:hAnsi="Avenir LT Std 35 Light"/>
          <w:lang w:val="en-US"/>
        </w:rPr>
      </w:pPr>
    </w:p>
    <w:p w14:paraId="4E30C698" w14:textId="77777777" w:rsidR="00026E71" w:rsidRDefault="00026E71" w:rsidP="004331C8">
      <w:pPr>
        <w:pStyle w:val="Heading1"/>
        <w:contextualSpacing/>
        <w:rPr>
          <w:rFonts w:ascii="Calibri" w:hAnsi="Calibri" w:cs="Calibri"/>
          <w:sz w:val="28"/>
          <w:szCs w:val="28"/>
          <w:lang w:val="en-US"/>
        </w:rPr>
      </w:pPr>
      <w:bookmarkStart w:id="9" w:name="_Toc20304755"/>
      <w:bookmarkStart w:id="10" w:name="_Toc20306740"/>
      <w:bookmarkStart w:id="11" w:name="_Toc21691057"/>
      <w:bookmarkStart w:id="12" w:name="_Toc21963672"/>
      <w:bookmarkStart w:id="13" w:name="_Toc21963704"/>
      <w:bookmarkStart w:id="14" w:name="_Toc21963774"/>
      <w:bookmarkStart w:id="15" w:name="_Toc21963841"/>
      <w:bookmarkStart w:id="16" w:name="_Toc22027687"/>
      <w:bookmarkStart w:id="17" w:name="_Toc22033322"/>
    </w:p>
    <w:p w14:paraId="3B5D6360" w14:textId="7D61D35B" w:rsidR="004331C8" w:rsidRPr="00026E71" w:rsidRDefault="007A6A2A" w:rsidP="004331C8">
      <w:pPr>
        <w:pStyle w:val="Heading1"/>
        <w:contextualSpacing/>
        <w:rPr>
          <w:rFonts w:ascii="Calibri" w:hAnsi="Calibri" w:cs="Calibri"/>
          <w:b/>
          <w:sz w:val="28"/>
          <w:szCs w:val="28"/>
          <w:lang w:val="en-US"/>
        </w:rPr>
      </w:pPr>
      <w:r w:rsidRPr="00026E71">
        <w:rPr>
          <w:rFonts w:ascii="Calibri" w:hAnsi="Calibri" w:cs="Calibri"/>
          <w:b/>
          <w:sz w:val="28"/>
          <w:szCs w:val="28"/>
          <w:lang w:val="en-US"/>
        </w:rPr>
        <w:t xml:space="preserve">Analysis of </w:t>
      </w:r>
      <w:bookmarkEnd w:id="9"/>
      <w:bookmarkEnd w:id="10"/>
      <w:bookmarkEnd w:id="11"/>
      <w:r w:rsidR="004A117F" w:rsidRPr="00026E71">
        <w:rPr>
          <w:rFonts w:ascii="Calibri" w:hAnsi="Calibri" w:cs="Calibri"/>
          <w:b/>
          <w:sz w:val="28"/>
          <w:szCs w:val="28"/>
          <w:lang w:val="en-US"/>
        </w:rPr>
        <w:t>the progression of A-Level geography entrants to higher education</w:t>
      </w:r>
      <w:bookmarkEnd w:id="12"/>
      <w:bookmarkEnd w:id="13"/>
      <w:bookmarkEnd w:id="14"/>
      <w:bookmarkEnd w:id="15"/>
      <w:bookmarkEnd w:id="16"/>
      <w:bookmarkEnd w:id="17"/>
    </w:p>
    <w:p w14:paraId="165C7ED0" w14:textId="77777777" w:rsidR="007A6A2A" w:rsidRPr="00026E71" w:rsidRDefault="007A6A2A" w:rsidP="007A6A2A">
      <w:pPr>
        <w:rPr>
          <w:rFonts w:ascii="Calibri" w:hAnsi="Calibri"/>
          <w:b/>
          <w:sz w:val="28"/>
          <w:szCs w:val="28"/>
          <w:lang w:val="en-US"/>
        </w:rPr>
      </w:pPr>
    </w:p>
    <w:p w14:paraId="43DB97F6" w14:textId="403F9667" w:rsidR="00A35D04" w:rsidRPr="00026E71" w:rsidRDefault="007A6A2A" w:rsidP="004331C8">
      <w:pPr>
        <w:pStyle w:val="Heading1"/>
        <w:contextualSpacing/>
        <w:rPr>
          <w:rFonts w:ascii="Calibri" w:hAnsi="Calibri" w:cs="Calibri"/>
          <w:b/>
          <w:sz w:val="28"/>
          <w:szCs w:val="28"/>
          <w:lang w:val="en-US"/>
        </w:rPr>
      </w:pPr>
      <w:bookmarkStart w:id="18" w:name="_Toc20304756"/>
      <w:bookmarkStart w:id="19" w:name="_Toc20306741"/>
      <w:bookmarkStart w:id="20" w:name="_Toc21691058"/>
      <w:bookmarkStart w:id="21" w:name="_Toc21963673"/>
      <w:bookmarkStart w:id="22" w:name="_Toc21963705"/>
      <w:bookmarkStart w:id="23" w:name="_Toc21963775"/>
      <w:bookmarkStart w:id="24" w:name="_Toc21963842"/>
      <w:bookmarkStart w:id="25" w:name="_Toc22027688"/>
      <w:bookmarkStart w:id="26" w:name="_Toc22033323"/>
      <w:r w:rsidRPr="00026E71">
        <w:rPr>
          <w:rFonts w:ascii="Calibri" w:hAnsi="Calibri" w:cs="Calibri"/>
          <w:b/>
          <w:sz w:val="28"/>
          <w:szCs w:val="28"/>
          <w:lang w:val="en-US"/>
        </w:rPr>
        <w:t xml:space="preserve">Report </w:t>
      </w:r>
      <w:r w:rsidR="0037044D" w:rsidRPr="00026E71">
        <w:rPr>
          <w:rFonts w:ascii="Calibri" w:hAnsi="Calibri" w:cs="Calibri"/>
          <w:b/>
          <w:sz w:val="28"/>
          <w:szCs w:val="28"/>
          <w:lang w:val="en-US"/>
        </w:rPr>
        <w:t xml:space="preserve">for </w:t>
      </w:r>
      <w:r w:rsidRPr="00026E71">
        <w:rPr>
          <w:rFonts w:ascii="Calibri" w:hAnsi="Calibri" w:cs="Calibri"/>
          <w:b/>
          <w:sz w:val="28"/>
          <w:szCs w:val="28"/>
          <w:lang w:val="en-US"/>
        </w:rPr>
        <w:t>the Royal Geographical Society</w:t>
      </w:r>
      <w:bookmarkEnd w:id="18"/>
      <w:bookmarkEnd w:id="19"/>
      <w:bookmarkEnd w:id="20"/>
      <w:bookmarkEnd w:id="21"/>
      <w:bookmarkEnd w:id="22"/>
      <w:bookmarkEnd w:id="23"/>
      <w:bookmarkEnd w:id="24"/>
      <w:bookmarkEnd w:id="25"/>
      <w:bookmarkEnd w:id="26"/>
      <w:r w:rsidR="00026E71" w:rsidRPr="00026E71">
        <w:rPr>
          <w:rFonts w:ascii="Calibri" w:hAnsi="Calibri" w:cs="Calibri"/>
          <w:b/>
          <w:sz w:val="28"/>
          <w:szCs w:val="28"/>
          <w:lang w:val="en-US"/>
        </w:rPr>
        <w:t xml:space="preserve"> (with IBG)</w:t>
      </w:r>
    </w:p>
    <w:p w14:paraId="7CD71DB3" w14:textId="639B48BF" w:rsidR="00072460" w:rsidRPr="00FF773A" w:rsidRDefault="00072460" w:rsidP="00481529">
      <w:pPr>
        <w:spacing w:after="160" w:line="259" w:lineRule="auto"/>
        <w:contextualSpacing/>
        <w:rPr>
          <w:rFonts w:ascii="Calibri" w:hAnsi="Calibri"/>
          <w:b/>
          <w:bCs/>
          <w:sz w:val="20"/>
          <w:szCs w:val="20"/>
        </w:rPr>
      </w:pPr>
    </w:p>
    <w:p w14:paraId="5742B6CE" w14:textId="356BDA7F" w:rsidR="00072460" w:rsidRPr="00FF773A" w:rsidRDefault="00072460" w:rsidP="00481529">
      <w:pPr>
        <w:spacing w:after="160" w:line="259" w:lineRule="auto"/>
        <w:contextualSpacing/>
        <w:rPr>
          <w:rFonts w:ascii="Calibri" w:hAnsi="Calibri"/>
          <w:b/>
          <w:bCs/>
          <w:sz w:val="20"/>
          <w:szCs w:val="20"/>
        </w:rPr>
      </w:pPr>
    </w:p>
    <w:p w14:paraId="377EDC21" w14:textId="0F4F2C20" w:rsidR="00072460" w:rsidRPr="00FF773A" w:rsidRDefault="00072460" w:rsidP="00481529">
      <w:pPr>
        <w:spacing w:after="160" w:line="259" w:lineRule="auto"/>
        <w:contextualSpacing/>
        <w:rPr>
          <w:rFonts w:ascii="Calibri" w:hAnsi="Calibri"/>
          <w:b/>
          <w:bCs/>
          <w:sz w:val="20"/>
          <w:szCs w:val="20"/>
        </w:rPr>
      </w:pPr>
    </w:p>
    <w:p w14:paraId="029C72EE" w14:textId="46F1CC35" w:rsidR="003A01DF" w:rsidRDefault="003A01DF" w:rsidP="00CC2619">
      <w:pPr>
        <w:pStyle w:val="Heading2"/>
        <w:jc w:val="right"/>
        <w:rPr>
          <w:rFonts w:ascii="Calibri" w:hAnsi="Calibri" w:cs="Calibri"/>
          <w:sz w:val="20"/>
          <w:szCs w:val="20"/>
        </w:rPr>
      </w:pPr>
      <w:bookmarkStart w:id="27" w:name="_Toc21963674"/>
      <w:bookmarkStart w:id="28" w:name="_Toc21963706"/>
      <w:bookmarkStart w:id="29" w:name="_Toc21963776"/>
      <w:bookmarkStart w:id="30" w:name="_Toc21963843"/>
      <w:bookmarkStart w:id="31" w:name="_Toc22027689"/>
      <w:bookmarkStart w:id="32" w:name="_Toc22033324"/>
      <w:r>
        <w:rPr>
          <w:rFonts w:ascii="Calibri" w:hAnsi="Calibri" w:cs="Calibri"/>
          <w:sz w:val="20"/>
          <w:szCs w:val="20"/>
        </w:rPr>
        <w:t xml:space="preserve">Original report by </w:t>
      </w:r>
    </w:p>
    <w:p w14:paraId="4264DE24" w14:textId="2D41BFF5" w:rsidR="00072460" w:rsidRPr="00FF773A" w:rsidRDefault="004B3C62" w:rsidP="00CC2619">
      <w:pPr>
        <w:pStyle w:val="Heading2"/>
        <w:jc w:val="right"/>
        <w:rPr>
          <w:rFonts w:ascii="Calibri" w:hAnsi="Calibri" w:cs="Calibri"/>
          <w:sz w:val="20"/>
          <w:szCs w:val="20"/>
        </w:rPr>
      </w:pPr>
      <w:r w:rsidRPr="00FF773A">
        <w:rPr>
          <w:rFonts w:ascii="Calibri" w:hAnsi="Calibri" w:cs="Calibri"/>
          <w:sz w:val="20"/>
          <w:szCs w:val="20"/>
        </w:rPr>
        <w:t xml:space="preserve">Natasha </w:t>
      </w:r>
      <w:proofErr w:type="spellStart"/>
      <w:r w:rsidRPr="00FF773A">
        <w:rPr>
          <w:rFonts w:ascii="Calibri" w:hAnsi="Calibri" w:cs="Calibri"/>
          <w:sz w:val="20"/>
          <w:szCs w:val="20"/>
        </w:rPr>
        <w:t>Plaister</w:t>
      </w:r>
      <w:bookmarkEnd w:id="27"/>
      <w:bookmarkEnd w:id="28"/>
      <w:bookmarkEnd w:id="29"/>
      <w:bookmarkEnd w:id="30"/>
      <w:bookmarkEnd w:id="31"/>
      <w:bookmarkEnd w:id="32"/>
      <w:proofErr w:type="spellEnd"/>
    </w:p>
    <w:p w14:paraId="67795001" w14:textId="6CDA736A" w:rsidR="00072460" w:rsidRPr="00FF773A" w:rsidRDefault="003B78CE" w:rsidP="00CC2619">
      <w:pPr>
        <w:pStyle w:val="Heading2"/>
        <w:jc w:val="right"/>
        <w:rPr>
          <w:rFonts w:ascii="Calibri" w:hAnsi="Calibri" w:cs="Calibri"/>
          <w:sz w:val="20"/>
          <w:szCs w:val="20"/>
        </w:rPr>
      </w:pPr>
      <w:bookmarkStart w:id="33" w:name="_Toc20304758"/>
      <w:bookmarkStart w:id="34" w:name="_Toc20306743"/>
      <w:bookmarkStart w:id="35" w:name="_Toc21691060"/>
      <w:bookmarkStart w:id="36" w:name="_Toc21963675"/>
      <w:bookmarkStart w:id="37" w:name="_Toc21963707"/>
      <w:bookmarkStart w:id="38" w:name="_Toc21963777"/>
      <w:bookmarkStart w:id="39" w:name="_Toc21963844"/>
      <w:bookmarkStart w:id="40" w:name="_Toc22027690"/>
      <w:bookmarkStart w:id="41" w:name="_Toc22033325"/>
      <w:r w:rsidRPr="00FF773A">
        <w:rPr>
          <w:rFonts w:ascii="Calibri" w:hAnsi="Calibri" w:cs="Calibri"/>
          <w:sz w:val="20"/>
          <w:szCs w:val="20"/>
        </w:rPr>
        <w:t>Dave Thomson</w:t>
      </w:r>
      <w:bookmarkEnd w:id="33"/>
      <w:bookmarkEnd w:id="34"/>
      <w:bookmarkEnd w:id="35"/>
      <w:bookmarkEnd w:id="36"/>
      <w:bookmarkEnd w:id="37"/>
      <w:bookmarkEnd w:id="38"/>
      <w:bookmarkEnd w:id="39"/>
      <w:bookmarkEnd w:id="40"/>
      <w:bookmarkEnd w:id="41"/>
    </w:p>
    <w:p w14:paraId="041744F8" w14:textId="207356C1" w:rsidR="00072460" w:rsidRPr="00FF773A" w:rsidRDefault="00072460" w:rsidP="00CC2619">
      <w:pPr>
        <w:pStyle w:val="Heading2"/>
        <w:jc w:val="right"/>
        <w:rPr>
          <w:rFonts w:ascii="Calibri" w:hAnsi="Calibri" w:cs="Calibri"/>
          <w:sz w:val="20"/>
          <w:szCs w:val="20"/>
        </w:rPr>
      </w:pPr>
    </w:p>
    <w:p w14:paraId="66EEC824" w14:textId="7D59354D" w:rsidR="00072460" w:rsidRPr="00FF773A" w:rsidRDefault="00072460" w:rsidP="00CC2619">
      <w:pPr>
        <w:pStyle w:val="Heading2"/>
        <w:jc w:val="right"/>
        <w:rPr>
          <w:rFonts w:ascii="Calibri" w:hAnsi="Calibri" w:cs="Calibri"/>
          <w:sz w:val="20"/>
          <w:szCs w:val="20"/>
        </w:rPr>
      </w:pPr>
      <w:bookmarkStart w:id="42" w:name="_Toc20304760"/>
      <w:bookmarkStart w:id="43" w:name="_Toc20306745"/>
      <w:bookmarkStart w:id="44" w:name="_Toc21691062"/>
      <w:bookmarkStart w:id="45" w:name="_Toc21963677"/>
      <w:bookmarkStart w:id="46" w:name="_Toc21963709"/>
      <w:bookmarkStart w:id="47" w:name="_Toc21963779"/>
      <w:bookmarkStart w:id="48" w:name="_Toc21963846"/>
      <w:bookmarkStart w:id="49" w:name="_Toc22027692"/>
      <w:bookmarkStart w:id="50" w:name="_Toc22033327"/>
      <w:r w:rsidRPr="00FF773A">
        <w:rPr>
          <w:rFonts w:ascii="Calibri" w:hAnsi="Calibri" w:cs="Calibri"/>
          <w:sz w:val="20"/>
          <w:szCs w:val="20"/>
        </w:rPr>
        <w:t>October 201</w:t>
      </w:r>
      <w:r w:rsidR="00B02933" w:rsidRPr="00FF773A">
        <w:rPr>
          <w:rFonts w:ascii="Calibri" w:hAnsi="Calibri" w:cs="Calibri"/>
          <w:sz w:val="20"/>
          <w:szCs w:val="20"/>
        </w:rPr>
        <w:t>9</w:t>
      </w:r>
      <w:bookmarkEnd w:id="42"/>
      <w:bookmarkEnd w:id="43"/>
      <w:bookmarkEnd w:id="44"/>
      <w:bookmarkEnd w:id="45"/>
      <w:bookmarkEnd w:id="46"/>
      <w:bookmarkEnd w:id="47"/>
      <w:bookmarkEnd w:id="48"/>
      <w:bookmarkEnd w:id="49"/>
      <w:bookmarkEnd w:id="50"/>
    </w:p>
    <w:p w14:paraId="6D0DF70D" w14:textId="5F0A775D" w:rsidR="00072460" w:rsidRPr="00FF773A" w:rsidRDefault="006D15DA">
      <w:pPr>
        <w:spacing w:after="160" w:line="259" w:lineRule="auto"/>
        <w:rPr>
          <w:rFonts w:ascii="Calibri" w:hAnsi="Calibri"/>
          <w:sz w:val="20"/>
          <w:szCs w:val="20"/>
        </w:rPr>
        <w:sectPr w:rsidR="00072460" w:rsidRPr="00FF773A">
          <w:footerReference w:type="default" r:id="rId9"/>
          <w:pgSz w:w="11906" w:h="16838"/>
          <w:pgMar w:top="1440" w:right="1440" w:bottom="1440" w:left="1440" w:header="708" w:footer="708" w:gutter="0"/>
          <w:cols w:space="708"/>
          <w:docGrid w:linePitch="360"/>
        </w:sectPr>
      </w:pPr>
      <w:r w:rsidRPr="00FF773A">
        <w:rPr>
          <w:rFonts w:ascii="Calibri" w:hAnsi="Calibri"/>
          <w:sz w:val="20"/>
          <w:szCs w:val="20"/>
        </w:rPr>
        <w:br w:type="page"/>
      </w:r>
    </w:p>
    <w:sdt>
      <w:sdtPr>
        <w:rPr>
          <w:rFonts w:ascii="Calibri" w:eastAsiaTheme="minorHAnsi" w:hAnsi="Calibri" w:cs="Calibri"/>
          <w:color w:val="auto"/>
          <w:sz w:val="20"/>
          <w:szCs w:val="20"/>
          <w:lang w:val="en-GB"/>
        </w:rPr>
        <w:id w:val="-1836906215"/>
        <w:docPartObj>
          <w:docPartGallery w:val="Table of Contents"/>
          <w:docPartUnique/>
        </w:docPartObj>
      </w:sdtPr>
      <w:sdtEndPr>
        <w:rPr>
          <w:b/>
          <w:bCs/>
          <w:noProof/>
        </w:rPr>
      </w:sdtEndPr>
      <w:sdtContent>
        <w:p w14:paraId="364171BA" w14:textId="16652089" w:rsidR="00774ED7" w:rsidRPr="00FF773A" w:rsidRDefault="00774ED7">
          <w:pPr>
            <w:pStyle w:val="TOCHeading"/>
            <w:rPr>
              <w:rFonts w:ascii="Calibri" w:hAnsi="Calibri" w:cs="Calibri"/>
              <w:sz w:val="20"/>
              <w:szCs w:val="20"/>
            </w:rPr>
          </w:pPr>
          <w:r w:rsidRPr="00FF773A">
            <w:rPr>
              <w:rFonts w:ascii="Calibri" w:hAnsi="Calibri" w:cs="Calibri"/>
              <w:sz w:val="20"/>
              <w:szCs w:val="20"/>
            </w:rPr>
            <w:t>Contents</w:t>
          </w:r>
        </w:p>
        <w:p w14:paraId="206300D6" w14:textId="10DB3785" w:rsidR="00564706" w:rsidRPr="00FF773A" w:rsidRDefault="00774ED7" w:rsidP="00564706">
          <w:pPr>
            <w:pStyle w:val="TOC1"/>
            <w:tabs>
              <w:tab w:val="right" w:leader="dot" w:pos="9016"/>
            </w:tabs>
            <w:rPr>
              <w:rFonts w:ascii="Calibri" w:eastAsiaTheme="minorEastAsia" w:hAnsi="Calibri"/>
              <w:noProof/>
              <w:sz w:val="20"/>
              <w:szCs w:val="20"/>
              <w:lang w:eastAsia="en-GB"/>
            </w:rPr>
          </w:pPr>
          <w:r w:rsidRPr="00FF773A">
            <w:rPr>
              <w:rFonts w:ascii="Calibri" w:hAnsi="Calibri"/>
              <w:sz w:val="20"/>
              <w:szCs w:val="20"/>
            </w:rPr>
            <w:fldChar w:fldCharType="begin"/>
          </w:r>
          <w:r w:rsidRPr="00FF773A">
            <w:rPr>
              <w:rFonts w:ascii="Calibri" w:hAnsi="Calibri"/>
              <w:sz w:val="20"/>
              <w:szCs w:val="20"/>
            </w:rPr>
            <w:instrText xml:space="preserve"> TOC \o "1-3" \h \z \u </w:instrText>
          </w:r>
          <w:r w:rsidRPr="00FF773A">
            <w:rPr>
              <w:rFonts w:ascii="Calibri" w:hAnsi="Calibri"/>
              <w:sz w:val="20"/>
              <w:szCs w:val="20"/>
            </w:rPr>
            <w:fldChar w:fldCharType="separate"/>
          </w:r>
        </w:p>
        <w:p w14:paraId="1123D003" w14:textId="2FC67195" w:rsidR="00564706" w:rsidRPr="00FF773A" w:rsidRDefault="00EE235C">
          <w:pPr>
            <w:pStyle w:val="TOC2"/>
            <w:tabs>
              <w:tab w:val="left" w:pos="660"/>
              <w:tab w:val="right" w:leader="dot" w:pos="9016"/>
            </w:tabs>
            <w:rPr>
              <w:rFonts w:ascii="Calibri" w:eastAsiaTheme="minorEastAsia" w:hAnsi="Calibri"/>
              <w:noProof/>
              <w:sz w:val="20"/>
              <w:szCs w:val="20"/>
              <w:lang w:eastAsia="en-GB"/>
            </w:rPr>
          </w:pPr>
          <w:hyperlink w:anchor="_Toc22033328" w:history="1">
            <w:r w:rsidR="00564706" w:rsidRPr="00FF773A">
              <w:rPr>
                <w:rStyle w:val="Hyperlink"/>
                <w:rFonts w:ascii="Calibri" w:hAnsi="Calibri"/>
                <w:noProof/>
                <w:sz w:val="20"/>
                <w:szCs w:val="20"/>
              </w:rPr>
              <w:t>1.</w:t>
            </w:r>
            <w:r w:rsidR="00564706" w:rsidRPr="00FF773A">
              <w:rPr>
                <w:rFonts w:ascii="Calibri" w:eastAsiaTheme="minorEastAsia" w:hAnsi="Calibri"/>
                <w:noProof/>
                <w:sz w:val="20"/>
                <w:szCs w:val="20"/>
                <w:lang w:eastAsia="en-GB"/>
              </w:rPr>
              <w:tab/>
            </w:r>
            <w:r w:rsidR="00564706" w:rsidRPr="00FF773A">
              <w:rPr>
                <w:rStyle w:val="Hyperlink"/>
                <w:rFonts w:ascii="Calibri" w:hAnsi="Calibri"/>
                <w:noProof/>
                <w:sz w:val="20"/>
                <w:szCs w:val="20"/>
              </w:rPr>
              <w:t>Introduction</w:t>
            </w:r>
            <w:r w:rsidR="00564706" w:rsidRPr="00FF773A">
              <w:rPr>
                <w:rFonts w:ascii="Calibri" w:hAnsi="Calibri"/>
                <w:noProof/>
                <w:webHidden/>
                <w:sz w:val="20"/>
                <w:szCs w:val="20"/>
              </w:rPr>
              <w:tab/>
            </w:r>
            <w:r w:rsidR="00564706" w:rsidRPr="00FF773A">
              <w:rPr>
                <w:rFonts w:ascii="Calibri" w:hAnsi="Calibri"/>
                <w:noProof/>
                <w:webHidden/>
                <w:sz w:val="20"/>
                <w:szCs w:val="20"/>
              </w:rPr>
              <w:fldChar w:fldCharType="begin"/>
            </w:r>
            <w:r w:rsidR="00564706" w:rsidRPr="00FF773A">
              <w:rPr>
                <w:rFonts w:ascii="Calibri" w:hAnsi="Calibri"/>
                <w:noProof/>
                <w:webHidden/>
                <w:sz w:val="20"/>
                <w:szCs w:val="20"/>
              </w:rPr>
              <w:instrText xml:space="preserve"> PAGEREF _Toc22033328 \h </w:instrText>
            </w:r>
            <w:r w:rsidR="00564706" w:rsidRPr="00FF773A">
              <w:rPr>
                <w:rFonts w:ascii="Calibri" w:hAnsi="Calibri"/>
                <w:noProof/>
                <w:webHidden/>
                <w:sz w:val="20"/>
                <w:szCs w:val="20"/>
              </w:rPr>
            </w:r>
            <w:r w:rsidR="00564706" w:rsidRPr="00FF773A">
              <w:rPr>
                <w:rFonts w:ascii="Calibri" w:hAnsi="Calibri"/>
                <w:noProof/>
                <w:webHidden/>
                <w:sz w:val="20"/>
                <w:szCs w:val="20"/>
              </w:rPr>
              <w:fldChar w:fldCharType="separate"/>
            </w:r>
            <w:r w:rsidR="00564706" w:rsidRPr="00FF773A">
              <w:rPr>
                <w:rFonts w:ascii="Calibri" w:hAnsi="Calibri"/>
                <w:noProof/>
                <w:webHidden/>
                <w:sz w:val="20"/>
                <w:szCs w:val="20"/>
              </w:rPr>
              <w:t>2</w:t>
            </w:r>
            <w:r w:rsidR="00564706" w:rsidRPr="00FF773A">
              <w:rPr>
                <w:rFonts w:ascii="Calibri" w:hAnsi="Calibri"/>
                <w:noProof/>
                <w:webHidden/>
                <w:sz w:val="20"/>
                <w:szCs w:val="20"/>
              </w:rPr>
              <w:fldChar w:fldCharType="end"/>
            </w:r>
          </w:hyperlink>
        </w:p>
        <w:p w14:paraId="25EFB465" w14:textId="2DC546A0" w:rsidR="00564706" w:rsidRPr="00FF773A" w:rsidRDefault="00EE235C">
          <w:pPr>
            <w:pStyle w:val="TOC3"/>
            <w:tabs>
              <w:tab w:val="right" w:leader="dot" w:pos="9016"/>
            </w:tabs>
            <w:rPr>
              <w:rFonts w:ascii="Calibri" w:eastAsiaTheme="minorEastAsia" w:hAnsi="Calibri"/>
              <w:noProof/>
              <w:sz w:val="20"/>
              <w:szCs w:val="20"/>
              <w:lang w:eastAsia="en-GB"/>
            </w:rPr>
          </w:pPr>
          <w:hyperlink w:anchor="_Toc22033329" w:history="1">
            <w:r w:rsidR="00564706" w:rsidRPr="00FF773A">
              <w:rPr>
                <w:rStyle w:val="Hyperlink"/>
                <w:rFonts w:ascii="Calibri" w:hAnsi="Calibri"/>
                <w:noProof/>
                <w:sz w:val="20"/>
                <w:szCs w:val="20"/>
              </w:rPr>
              <w:t>Acknowledgments</w:t>
            </w:r>
            <w:r w:rsidR="00564706" w:rsidRPr="00FF773A">
              <w:rPr>
                <w:rFonts w:ascii="Calibri" w:hAnsi="Calibri"/>
                <w:noProof/>
                <w:webHidden/>
                <w:sz w:val="20"/>
                <w:szCs w:val="20"/>
              </w:rPr>
              <w:tab/>
            </w:r>
            <w:r w:rsidR="00564706" w:rsidRPr="00FF773A">
              <w:rPr>
                <w:rFonts w:ascii="Calibri" w:hAnsi="Calibri"/>
                <w:noProof/>
                <w:webHidden/>
                <w:sz w:val="20"/>
                <w:szCs w:val="20"/>
              </w:rPr>
              <w:fldChar w:fldCharType="begin"/>
            </w:r>
            <w:r w:rsidR="00564706" w:rsidRPr="00FF773A">
              <w:rPr>
                <w:rFonts w:ascii="Calibri" w:hAnsi="Calibri"/>
                <w:noProof/>
                <w:webHidden/>
                <w:sz w:val="20"/>
                <w:szCs w:val="20"/>
              </w:rPr>
              <w:instrText xml:space="preserve"> PAGEREF _Toc22033329 \h </w:instrText>
            </w:r>
            <w:r w:rsidR="00564706" w:rsidRPr="00FF773A">
              <w:rPr>
                <w:rFonts w:ascii="Calibri" w:hAnsi="Calibri"/>
                <w:noProof/>
                <w:webHidden/>
                <w:sz w:val="20"/>
                <w:szCs w:val="20"/>
              </w:rPr>
            </w:r>
            <w:r w:rsidR="00564706" w:rsidRPr="00FF773A">
              <w:rPr>
                <w:rFonts w:ascii="Calibri" w:hAnsi="Calibri"/>
                <w:noProof/>
                <w:webHidden/>
                <w:sz w:val="20"/>
                <w:szCs w:val="20"/>
              </w:rPr>
              <w:fldChar w:fldCharType="separate"/>
            </w:r>
            <w:r w:rsidR="00564706" w:rsidRPr="00FF773A">
              <w:rPr>
                <w:rFonts w:ascii="Calibri" w:hAnsi="Calibri"/>
                <w:noProof/>
                <w:webHidden/>
                <w:sz w:val="20"/>
                <w:szCs w:val="20"/>
              </w:rPr>
              <w:t>2</w:t>
            </w:r>
            <w:r w:rsidR="00564706" w:rsidRPr="00FF773A">
              <w:rPr>
                <w:rFonts w:ascii="Calibri" w:hAnsi="Calibri"/>
                <w:noProof/>
                <w:webHidden/>
                <w:sz w:val="20"/>
                <w:szCs w:val="20"/>
              </w:rPr>
              <w:fldChar w:fldCharType="end"/>
            </w:r>
          </w:hyperlink>
        </w:p>
        <w:p w14:paraId="77E84E18" w14:textId="7DD43CD4" w:rsidR="00564706" w:rsidRPr="00FF773A" w:rsidRDefault="00EE235C">
          <w:pPr>
            <w:pStyle w:val="TOC3"/>
            <w:tabs>
              <w:tab w:val="right" w:leader="dot" w:pos="9016"/>
            </w:tabs>
            <w:rPr>
              <w:rFonts w:ascii="Calibri" w:eastAsiaTheme="minorEastAsia" w:hAnsi="Calibri"/>
              <w:noProof/>
              <w:sz w:val="20"/>
              <w:szCs w:val="20"/>
              <w:lang w:eastAsia="en-GB"/>
            </w:rPr>
          </w:pPr>
          <w:hyperlink w:anchor="_Toc22033330" w:history="1">
            <w:r w:rsidR="00564706" w:rsidRPr="00FF773A">
              <w:rPr>
                <w:rStyle w:val="Hyperlink"/>
                <w:rFonts w:ascii="Calibri" w:hAnsi="Calibri"/>
                <w:noProof/>
                <w:sz w:val="20"/>
                <w:szCs w:val="20"/>
              </w:rPr>
              <w:t>Navigation</w:t>
            </w:r>
            <w:r w:rsidR="00564706" w:rsidRPr="00FF773A">
              <w:rPr>
                <w:rFonts w:ascii="Calibri" w:hAnsi="Calibri"/>
                <w:noProof/>
                <w:webHidden/>
                <w:sz w:val="20"/>
                <w:szCs w:val="20"/>
              </w:rPr>
              <w:tab/>
            </w:r>
            <w:r w:rsidR="00564706" w:rsidRPr="00FF773A">
              <w:rPr>
                <w:rFonts w:ascii="Calibri" w:hAnsi="Calibri"/>
                <w:noProof/>
                <w:webHidden/>
                <w:sz w:val="20"/>
                <w:szCs w:val="20"/>
              </w:rPr>
              <w:fldChar w:fldCharType="begin"/>
            </w:r>
            <w:r w:rsidR="00564706" w:rsidRPr="00FF773A">
              <w:rPr>
                <w:rFonts w:ascii="Calibri" w:hAnsi="Calibri"/>
                <w:noProof/>
                <w:webHidden/>
                <w:sz w:val="20"/>
                <w:szCs w:val="20"/>
              </w:rPr>
              <w:instrText xml:space="preserve"> PAGEREF _Toc22033330 \h </w:instrText>
            </w:r>
            <w:r w:rsidR="00564706" w:rsidRPr="00FF773A">
              <w:rPr>
                <w:rFonts w:ascii="Calibri" w:hAnsi="Calibri"/>
                <w:noProof/>
                <w:webHidden/>
                <w:sz w:val="20"/>
                <w:szCs w:val="20"/>
              </w:rPr>
            </w:r>
            <w:r w:rsidR="00564706" w:rsidRPr="00FF773A">
              <w:rPr>
                <w:rFonts w:ascii="Calibri" w:hAnsi="Calibri"/>
                <w:noProof/>
                <w:webHidden/>
                <w:sz w:val="20"/>
                <w:szCs w:val="20"/>
              </w:rPr>
              <w:fldChar w:fldCharType="separate"/>
            </w:r>
            <w:r w:rsidR="00564706" w:rsidRPr="00FF773A">
              <w:rPr>
                <w:rFonts w:ascii="Calibri" w:hAnsi="Calibri"/>
                <w:noProof/>
                <w:webHidden/>
                <w:sz w:val="20"/>
                <w:szCs w:val="20"/>
              </w:rPr>
              <w:t>2</w:t>
            </w:r>
            <w:r w:rsidR="00564706" w:rsidRPr="00FF773A">
              <w:rPr>
                <w:rFonts w:ascii="Calibri" w:hAnsi="Calibri"/>
                <w:noProof/>
                <w:webHidden/>
                <w:sz w:val="20"/>
                <w:szCs w:val="20"/>
              </w:rPr>
              <w:fldChar w:fldCharType="end"/>
            </w:r>
          </w:hyperlink>
        </w:p>
        <w:p w14:paraId="2608F2E5" w14:textId="4A15ECA7" w:rsidR="00564706" w:rsidRPr="00FF773A" w:rsidRDefault="00EE235C">
          <w:pPr>
            <w:pStyle w:val="TOC2"/>
            <w:tabs>
              <w:tab w:val="right" w:leader="dot" w:pos="9016"/>
            </w:tabs>
            <w:rPr>
              <w:rFonts w:ascii="Calibri" w:eastAsiaTheme="minorEastAsia" w:hAnsi="Calibri"/>
              <w:noProof/>
              <w:sz w:val="20"/>
              <w:szCs w:val="20"/>
              <w:lang w:eastAsia="en-GB"/>
            </w:rPr>
          </w:pPr>
          <w:hyperlink w:anchor="_Toc22033331" w:history="1">
            <w:r w:rsidR="00564706" w:rsidRPr="00FF773A">
              <w:rPr>
                <w:rStyle w:val="Hyperlink"/>
                <w:rFonts w:ascii="Calibri" w:hAnsi="Calibri"/>
                <w:noProof/>
                <w:sz w:val="20"/>
                <w:szCs w:val="20"/>
              </w:rPr>
              <w:t>2. Summary</w:t>
            </w:r>
            <w:r w:rsidR="00564706" w:rsidRPr="00FF773A">
              <w:rPr>
                <w:rFonts w:ascii="Calibri" w:hAnsi="Calibri"/>
                <w:noProof/>
                <w:webHidden/>
                <w:sz w:val="20"/>
                <w:szCs w:val="20"/>
              </w:rPr>
              <w:tab/>
            </w:r>
            <w:r w:rsidR="00564706" w:rsidRPr="00FF773A">
              <w:rPr>
                <w:rFonts w:ascii="Calibri" w:hAnsi="Calibri"/>
                <w:noProof/>
                <w:webHidden/>
                <w:sz w:val="20"/>
                <w:szCs w:val="20"/>
              </w:rPr>
              <w:fldChar w:fldCharType="begin"/>
            </w:r>
            <w:r w:rsidR="00564706" w:rsidRPr="00FF773A">
              <w:rPr>
                <w:rFonts w:ascii="Calibri" w:hAnsi="Calibri"/>
                <w:noProof/>
                <w:webHidden/>
                <w:sz w:val="20"/>
                <w:szCs w:val="20"/>
              </w:rPr>
              <w:instrText xml:space="preserve"> PAGEREF _Toc22033331 \h </w:instrText>
            </w:r>
            <w:r w:rsidR="00564706" w:rsidRPr="00FF773A">
              <w:rPr>
                <w:rFonts w:ascii="Calibri" w:hAnsi="Calibri"/>
                <w:noProof/>
                <w:webHidden/>
                <w:sz w:val="20"/>
                <w:szCs w:val="20"/>
              </w:rPr>
            </w:r>
            <w:r w:rsidR="00564706" w:rsidRPr="00FF773A">
              <w:rPr>
                <w:rFonts w:ascii="Calibri" w:hAnsi="Calibri"/>
                <w:noProof/>
                <w:webHidden/>
                <w:sz w:val="20"/>
                <w:szCs w:val="20"/>
              </w:rPr>
              <w:fldChar w:fldCharType="separate"/>
            </w:r>
            <w:r w:rsidR="00564706" w:rsidRPr="00FF773A">
              <w:rPr>
                <w:rFonts w:ascii="Calibri" w:hAnsi="Calibri"/>
                <w:noProof/>
                <w:webHidden/>
                <w:sz w:val="20"/>
                <w:szCs w:val="20"/>
              </w:rPr>
              <w:t>2</w:t>
            </w:r>
            <w:r w:rsidR="00564706" w:rsidRPr="00FF773A">
              <w:rPr>
                <w:rFonts w:ascii="Calibri" w:hAnsi="Calibri"/>
                <w:noProof/>
                <w:webHidden/>
                <w:sz w:val="20"/>
                <w:szCs w:val="20"/>
              </w:rPr>
              <w:fldChar w:fldCharType="end"/>
            </w:r>
          </w:hyperlink>
        </w:p>
        <w:p w14:paraId="405AFE8D" w14:textId="1DA2BD0F" w:rsidR="00564706" w:rsidRPr="00FF773A" w:rsidRDefault="00EE235C">
          <w:pPr>
            <w:pStyle w:val="TOC3"/>
            <w:tabs>
              <w:tab w:val="right" w:leader="dot" w:pos="9016"/>
            </w:tabs>
            <w:rPr>
              <w:rFonts w:ascii="Calibri" w:eastAsiaTheme="minorEastAsia" w:hAnsi="Calibri"/>
              <w:noProof/>
              <w:sz w:val="20"/>
              <w:szCs w:val="20"/>
              <w:lang w:eastAsia="en-GB"/>
            </w:rPr>
          </w:pPr>
          <w:hyperlink w:anchor="_Toc22033332" w:history="1">
            <w:r w:rsidR="00564706" w:rsidRPr="00FF773A">
              <w:rPr>
                <w:rStyle w:val="Hyperlink"/>
                <w:rFonts w:ascii="Calibri" w:hAnsi="Calibri"/>
                <w:noProof/>
                <w:sz w:val="20"/>
                <w:szCs w:val="20"/>
              </w:rPr>
              <w:t>2.1 A note on A-Level numbers</w:t>
            </w:r>
            <w:r w:rsidR="00564706" w:rsidRPr="00FF773A">
              <w:rPr>
                <w:rFonts w:ascii="Calibri" w:hAnsi="Calibri"/>
                <w:noProof/>
                <w:webHidden/>
                <w:sz w:val="20"/>
                <w:szCs w:val="20"/>
              </w:rPr>
              <w:tab/>
            </w:r>
            <w:r w:rsidR="00564706" w:rsidRPr="00FF773A">
              <w:rPr>
                <w:rFonts w:ascii="Calibri" w:hAnsi="Calibri"/>
                <w:noProof/>
                <w:webHidden/>
                <w:sz w:val="20"/>
                <w:szCs w:val="20"/>
              </w:rPr>
              <w:fldChar w:fldCharType="begin"/>
            </w:r>
            <w:r w:rsidR="00564706" w:rsidRPr="00FF773A">
              <w:rPr>
                <w:rFonts w:ascii="Calibri" w:hAnsi="Calibri"/>
                <w:noProof/>
                <w:webHidden/>
                <w:sz w:val="20"/>
                <w:szCs w:val="20"/>
              </w:rPr>
              <w:instrText xml:space="preserve"> PAGEREF _Toc22033332 \h </w:instrText>
            </w:r>
            <w:r w:rsidR="00564706" w:rsidRPr="00FF773A">
              <w:rPr>
                <w:rFonts w:ascii="Calibri" w:hAnsi="Calibri"/>
                <w:noProof/>
                <w:webHidden/>
                <w:sz w:val="20"/>
                <w:szCs w:val="20"/>
              </w:rPr>
            </w:r>
            <w:r w:rsidR="00564706" w:rsidRPr="00FF773A">
              <w:rPr>
                <w:rFonts w:ascii="Calibri" w:hAnsi="Calibri"/>
                <w:noProof/>
                <w:webHidden/>
                <w:sz w:val="20"/>
                <w:szCs w:val="20"/>
              </w:rPr>
              <w:fldChar w:fldCharType="separate"/>
            </w:r>
            <w:r w:rsidR="00564706" w:rsidRPr="00FF773A">
              <w:rPr>
                <w:rFonts w:ascii="Calibri" w:hAnsi="Calibri"/>
                <w:noProof/>
                <w:webHidden/>
                <w:sz w:val="20"/>
                <w:szCs w:val="20"/>
              </w:rPr>
              <w:t>4</w:t>
            </w:r>
            <w:r w:rsidR="00564706" w:rsidRPr="00FF773A">
              <w:rPr>
                <w:rFonts w:ascii="Calibri" w:hAnsi="Calibri"/>
                <w:noProof/>
                <w:webHidden/>
                <w:sz w:val="20"/>
                <w:szCs w:val="20"/>
              </w:rPr>
              <w:fldChar w:fldCharType="end"/>
            </w:r>
          </w:hyperlink>
        </w:p>
        <w:p w14:paraId="7DE44C5F" w14:textId="6A0744F0" w:rsidR="00564706" w:rsidRPr="00FF773A" w:rsidRDefault="00EE235C">
          <w:pPr>
            <w:pStyle w:val="TOC3"/>
            <w:tabs>
              <w:tab w:val="right" w:leader="dot" w:pos="9016"/>
            </w:tabs>
            <w:rPr>
              <w:rFonts w:ascii="Calibri" w:eastAsiaTheme="minorEastAsia" w:hAnsi="Calibri"/>
              <w:noProof/>
              <w:sz w:val="20"/>
              <w:szCs w:val="20"/>
              <w:lang w:eastAsia="en-GB"/>
            </w:rPr>
          </w:pPr>
          <w:hyperlink w:anchor="_Toc22033333" w:history="1">
            <w:r w:rsidR="00564706" w:rsidRPr="00FF773A">
              <w:rPr>
                <w:rStyle w:val="Hyperlink"/>
                <w:rFonts w:ascii="Calibri" w:hAnsi="Calibri"/>
                <w:noProof/>
                <w:sz w:val="20"/>
                <w:szCs w:val="20"/>
              </w:rPr>
              <w:t>2.2 Data suppression</w:t>
            </w:r>
            <w:r w:rsidR="00564706" w:rsidRPr="00FF773A">
              <w:rPr>
                <w:rFonts w:ascii="Calibri" w:hAnsi="Calibri"/>
                <w:noProof/>
                <w:webHidden/>
                <w:sz w:val="20"/>
                <w:szCs w:val="20"/>
              </w:rPr>
              <w:tab/>
            </w:r>
            <w:r w:rsidR="00564706" w:rsidRPr="00FF773A">
              <w:rPr>
                <w:rFonts w:ascii="Calibri" w:hAnsi="Calibri"/>
                <w:noProof/>
                <w:webHidden/>
                <w:sz w:val="20"/>
                <w:szCs w:val="20"/>
              </w:rPr>
              <w:fldChar w:fldCharType="begin"/>
            </w:r>
            <w:r w:rsidR="00564706" w:rsidRPr="00FF773A">
              <w:rPr>
                <w:rFonts w:ascii="Calibri" w:hAnsi="Calibri"/>
                <w:noProof/>
                <w:webHidden/>
                <w:sz w:val="20"/>
                <w:szCs w:val="20"/>
              </w:rPr>
              <w:instrText xml:space="preserve"> PAGEREF _Toc22033333 \h </w:instrText>
            </w:r>
            <w:r w:rsidR="00564706" w:rsidRPr="00FF773A">
              <w:rPr>
                <w:rFonts w:ascii="Calibri" w:hAnsi="Calibri"/>
                <w:noProof/>
                <w:webHidden/>
                <w:sz w:val="20"/>
                <w:szCs w:val="20"/>
              </w:rPr>
            </w:r>
            <w:r w:rsidR="00564706" w:rsidRPr="00FF773A">
              <w:rPr>
                <w:rFonts w:ascii="Calibri" w:hAnsi="Calibri"/>
                <w:noProof/>
                <w:webHidden/>
                <w:sz w:val="20"/>
                <w:szCs w:val="20"/>
              </w:rPr>
              <w:fldChar w:fldCharType="separate"/>
            </w:r>
            <w:r w:rsidR="00564706" w:rsidRPr="00FF773A">
              <w:rPr>
                <w:rFonts w:ascii="Calibri" w:hAnsi="Calibri"/>
                <w:noProof/>
                <w:webHidden/>
                <w:sz w:val="20"/>
                <w:szCs w:val="20"/>
              </w:rPr>
              <w:t>4</w:t>
            </w:r>
            <w:r w:rsidR="00564706" w:rsidRPr="00FF773A">
              <w:rPr>
                <w:rFonts w:ascii="Calibri" w:hAnsi="Calibri"/>
                <w:noProof/>
                <w:webHidden/>
                <w:sz w:val="20"/>
                <w:szCs w:val="20"/>
              </w:rPr>
              <w:fldChar w:fldCharType="end"/>
            </w:r>
          </w:hyperlink>
        </w:p>
        <w:p w14:paraId="3A52E0F5" w14:textId="58E1AF2F" w:rsidR="00564706" w:rsidRPr="00FF773A" w:rsidRDefault="00EE235C">
          <w:pPr>
            <w:pStyle w:val="TOC2"/>
            <w:tabs>
              <w:tab w:val="left" w:pos="660"/>
              <w:tab w:val="right" w:leader="dot" w:pos="9016"/>
            </w:tabs>
            <w:rPr>
              <w:rFonts w:ascii="Calibri" w:eastAsiaTheme="minorEastAsia" w:hAnsi="Calibri"/>
              <w:noProof/>
              <w:sz w:val="20"/>
              <w:szCs w:val="20"/>
              <w:lang w:eastAsia="en-GB"/>
            </w:rPr>
          </w:pPr>
          <w:hyperlink w:anchor="_Toc22033334" w:history="1">
            <w:r w:rsidR="00564706" w:rsidRPr="00FF773A">
              <w:rPr>
                <w:rStyle w:val="Hyperlink"/>
                <w:rFonts w:ascii="Calibri" w:hAnsi="Calibri"/>
                <w:noProof/>
                <w:sz w:val="20"/>
                <w:szCs w:val="20"/>
              </w:rPr>
              <w:t>3.</w:t>
            </w:r>
            <w:r w:rsidR="00564706" w:rsidRPr="00FF773A">
              <w:rPr>
                <w:rFonts w:ascii="Calibri" w:eastAsiaTheme="minorEastAsia" w:hAnsi="Calibri"/>
                <w:noProof/>
                <w:sz w:val="20"/>
                <w:szCs w:val="20"/>
                <w:lang w:eastAsia="en-GB"/>
              </w:rPr>
              <w:tab/>
            </w:r>
            <w:r w:rsidR="00564706" w:rsidRPr="00FF773A">
              <w:rPr>
                <w:rStyle w:val="Hyperlink"/>
                <w:rFonts w:ascii="Calibri" w:hAnsi="Calibri"/>
                <w:noProof/>
                <w:sz w:val="20"/>
                <w:szCs w:val="20"/>
              </w:rPr>
              <w:t>Progression to geography at degree level</w:t>
            </w:r>
            <w:r w:rsidR="00564706" w:rsidRPr="00FF773A">
              <w:rPr>
                <w:rFonts w:ascii="Calibri" w:hAnsi="Calibri"/>
                <w:noProof/>
                <w:webHidden/>
                <w:sz w:val="20"/>
                <w:szCs w:val="20"/>
              </w:rPr>
              <w:tab/>
            </w:r>
            <w:r w:rsidR="00564706" w:rsidRPr="00FF773A">
              <w:rPr>
                <w:rFonts w:ascii="Calibri" w:hAnsi="Calibri"/>
                <w:noProof/>
                <w:webHidden/>
                <w:sz w:val="20"/>
                <w:szCs w:val="20"/>
              </w:rPr>
              <w:fldChar w:fldCharType="begin"/>
            </w:r>
            <w:r w:rsidR="00564706" w:rsidRPr="00FF773A">
              <w:rPr>
                <w:rFonts w:ascii="Calibri" w:hAnsi="Calibri"/>
                <w:noProof/>
                <w:webHidden/>
                <w:sz w:val="20"/>
                <w:szCs w:val="20"/>
              </w:rPr>
              <w:instrText xml:space="preserve"> PAGEREF _Toc22033334 \h </w:instrText>
            </w:r>
            <w:r w:rsidR="00564706" w:rsidRPr="00FF773A">
              <w:rPr>
                <w:rFonts w:ascii="Calibri" w:hAnsi="Calibri"/>
                <w:noProof/>
                <w:webHidden/>
                <w:sz w:val="20"/>
                <w:szCs w:val="20"/>
              </w:rPr>
            </w:r>
            <w:r w:rsidR="00564706" w:rsidRPr="00FF773A">
              <w:rPr>
                <w:rFonts w:ascii="Calibri" w:hAnsi="Calibri"/>
                <w:noProof/>
                <w:webHidden/>
                <w:sz w:val="20"/>
                <w:szCs w:val="20"/>
              </w:rPr>
              <w:fldChar w:fldCharType="separate"/>
            </w:r>
            <w:r w:rsidR="00564706" w:rsidRPr="00FF773A">
              <w:rPr>
                <w:rFonts w:ascii="Calibri" w:hAnsi="Calibri"/>
                <w:noProof/>
                <w:webHidden/>
                <w:sz w:val="20"/>
                <w:szCs w:val="20"/>
              </w:rPr>
              <w:t>5</w:t>
            </w:r>
            <w:r w:rsidR="00564706" w:rsidRPr="00FF773A">
              <w:rPr>
                <w:rFonts w:ascii="Calibri" w:hAnsi="Calibri"/>
                <w:noProof/>
                <w:webHidden/>
                <w:sz w:val="20"/>
                <w:szCs w:val="20"/>
              </w:rPr>
              <w:fldChar w:fldCharType="end"/>
            </w:r>
          </w:hyperlink>
        </w:p>
        <w:p w14:paraId="188CE801" w14:textId="785AEE0B" w:rsidR="00564706" w:rsidRPr="00FF773A" w:rsidRDefault="00EE235C">
          <w:pPr>
            <w:pStyle w:val="TOC3"/>
            <w:tabs>
              <w:tab w:val="right" w:leader="dot" w:pos="9016"/>
            </w:tabs>
            <w:rPr>
              <w:rFonts w:ascii="Calibri" w:eastAsiaTheme="minorEastAsia" w:hAnsi="Calibri"/>
              <w:noProof/>
              <w:sz w:val="20"/>
              <w:szCs w:val="20"/>
              <w:lang w:eastAsia="en-GB"/>
            </w:rPr>
          </w:pPr>
          <w:hyperlink w:anchor="_Toc22033335" w:history="1">
            <w:r w:rsidR="00564706" w:rsidRPr="00FF773A">
              <w:rPr>
                <w:rStyle w:val="Hyperlink"/>
                <w:rFonts w:ascii="Calibri" w:eastAsia="Times New Roman" w:hAnsi="Calibri"/>
                <w:noProof/>
                <w:sz w:val="20"/>
                <w:szCs w:val="20"/>
              </w:rPr>
              <w:t>3.1 Gender</w:t>
            </w:r>
            <w:r w:rsidR="00564706" w:rsidRPr="00FF773A">
              <w:rPr>
                <w:rFonts w:ascii="Calibri" w:hAnsi="Calibri"/>
                <w:noProof/>
                <w:webHidden/>
                <w:sz w:val="20"/>
                <w:szCs w:val="20"/>
              </w:rPr>
              <w:tab/>
            </w:r>
            <w:r w:rsidR="00564706" w:rsidRPr="00FF773A">
              <w:rPr>
                <w:rFonts w:ascii="Calibri" w:hAnsi="Calibri"/>
                <w:noProof/>
                <w:webHidden/>
                <w:sz w:val="20"/>
                <w:szCs w:val="20"/>
              </w:rPr>
              <w:fldChar w:fldCharType="begin"/>
            </w:r>
            <w:r w:rsidR="00564706" w:rsidRPr="00FF773A">
              <w:rPr>
                <w:rFonts w:ascii="Calibri" w:hAnsi="Calibri"/>
                <w:noProof/>
                <w:webHidden/>
                <w:sz w:val="20"/>
                <w:szCs w:val="20"/>
              </w:rPr>
              <w:instrText xml:space="preserve"> PAGEREF _Toc22033335 \h </w:instrText>
            </w:r>
            <w:r w:rsidR="00564706" w:rsidRPr="00FF773A">
              <w:rPr>
                <w:rFonts w:ascii="Calibri" w:hAnsi="Calibri"/>
                <w:noProof/>
                <w:webHidden/>
                <w:sz w:val="20"/>
                <w:szCs w:val="20"/>
              </w:rPr>
            </w:r>
            <w:r w:rsidR="00564706" w:rsidRPr="00FF773A">
              <w:rPr>
                <w:rFonts w:ascii="Calibri" w:hAnsi="Calibri"/>
                <w:noProof/>
                <w:webHidden/>
                <w:sz w:val="20"/>
                <w:szCs w:val="20"/>
              </w:rPr>
              <w:fldChar w:fldCharType="separate"/>
            </w:r>
            <w:r w:rsidR="00564706" w:rsidRPr="00FF773A">
              <w:rPr>
                <w:rFonts w:ascii="Calibri" w:hAnsi="Calibri"/>
                <w:noProof/>
                <w:webHidden/>
                <w:sz w:val="20"/>
                <w:szCs w:val="20"/>
              </w:rPr>
              <w:t>5</w:t>
            </w:r>
            <w:r w:rsidR="00564706" w:rsidRPr="00FF773A">
              <w:rPr>
                <w:rFonts w:ascii="Calibri" w:hAnsi="Calibri"/>
                <w:noProof/>
                <w:webHidden/>
                <w:sz w:val="20"/>
                <w:szCs w:val="20"/>
              </w:rPr>
              <w:fldChar w:fldCharType="end"/>
            </w:r>
          </w:hyperlink>
        </w:p>
        <w:p w14:paraId="70AD2F66" w14:textId="7E5F9A37" w:rsidR="00564706" w:rsidRPr="00FF773A" w:rsidRDefault="00EE235C">
          <w:pPr>
            <w:pStyle w:val="TOC3"/>
            <w:tabs>
              <w:tab w:val="right" w:leader="dot" w:pos="9016"/>
            </w:tabs>
            <w:rPr>
              <w:rFonts w:ascii="Calibri" w:eastAsiaTheme="minorEastAsia" w:hAnsi="Calibri"/>
              <w:noProof/>
              <w:sz w:val="20"/>
              <w:szCs w:val="20"/>
              <w:lang w:eastAsia="en-GB"/>
            </w:rPr>
          </w:pPr>
          <w:hyperlink w:anchor="_Toc22033336" w:history="1">
            <w:r w:rsidR="00564706" w:rsidRPr="00FF773A">
              <w:rPr>
                <w:rStyle w:val="Hyperlink"/>
                <w:rFonts w:ascii="Calibri" w:eastAsia="Times New Roman" w:hAnsi="Calibri"/>
                <w:noProof/>
                <w:sz w:val="20"/>
                <w:szCs w:val="20"/>
              </w:rPr>
              <w:t>3.2 Ethnicity</w:t>
            </w:r>
            <w:r w:rsidR="00564706" w:rsidRPr="00FF773A">
              <w:rPr>
                <w:rFonts w:ascii="Calibri" w:hAnsi="Calibri"/>
                <w:noProof/>
                <w:webHidden/>
                <w:sz w:val="20"/>
                <w:szCs w:val="20"/>
              </w:rPr>
              <w:tab/>
            </w:r>
            <w:r w:rsidR="00564706" w:rsidRPr="00FF773A">
              <w:rPr>
                <w:rFonts w:ascii="Calibri" w:hAnsi="Calibri"/>
                <w:noProof/>
                <w:webHidden/>
                <w:sz w:val="20"/>
                <w:szCs w:val="20"/>
              </w:rPr>
              <w:fldChar w:fldCharType="begin"/>
            </w:r>
            <w:r w:rsidR="00564706" w:rsidRPr="00FF773A">
              <w:rPr>
                <w:rFonts w:ascii="Calibri" w:hAnsi="Calibri"/>
                <w:noProof/>
                <w:webHidden/>
                <w:sz w:val="20"/>
                <w:szCs w:val="20"/>
              </w:rPr>
              <w:instrText xml:space="preserve"> PAGEREF _Toc22033336 \h </w:instrText>
            </w:r>
            <w:r w:rsidR="00564706" w:rsidRPr="00FF773A">
              <w:rPr>
                <w:rFonts w:ascii="Calibri" w:hAnsi="Calibri"/>
                <w:noProof/>
                <w:webHidden/>
                <w:sz w:val="20"/>
                <w:szCs w:val="20"/>
              </w:rPr>
            </w:r>
            <w:r w:rsidR="00564706" w:rsidRPr="00FF773A">
              <w:rPr>
                <w:rFonts w:ascii="Calibri" w:hAnsi="Calibri"/>
                <w:noProof/>
                <w:webHidden/>
                <w:sz w:val="20"/>
                <w:szCs w:val="20"/>
              </w:rPr>
              <w:fldChar w:fldCharType="separate"/>
            </w:r>
            <w:r w:rsidR="00564706" w:rsidRPr="00FF773A">
              <w:rPr>
                <w:rFonts w:ascii="Calibri" w:hAnsi="Calibri"/>
                <w:noProof/>
                <w:webHidden/>
                <w:sz w:val="20"/>
                <w:szCs w:val="20"/>
              </w:rPr>
              <w:t>5</w:t>
            </w:r>
            <w:r w:rsidR="00564706" w:rsidRPr="00FF773A">
              <w:rPr>
                <w:rFonts w:ascii="Calibri" w:hAnsi="Calibri"/>
                <w:noProof/>
                <w:webHidden/>
                <w:sz w:val="20"/>
                <w:szCs w:val="20"/>
              </w:rPr>
              <w:fldChar w:fldCharType="end"/>
            </w:r>
          </w:hyperlink>
        </w:p>
        <w:p w14:paraId="3F004F5F" w14:textId="1CDBF277" w:rsidR="00564706" w:rsidRPr="00FF773A" w:rsidRDefault="00EE235C">
          <w:pPr>
            <w:pStyle w:val="TOC3"/>
            <w:tabs>
              <w:tab w:val="right" w:leader="dot" w:pos="9016"/>
            </w:tabs>
            <w:rPr>
              <w:rFonts w:ascii="Calibri" w:eastAsiaTheme="minorEastAsia" w:hAnsi="Calibri"/>
              <w:noProof/>
              <w:sz w:val="20"/>
              <w:szCs w:val="20"/>
              <w:lang w:eastAsia="en-GB"/>
            </w:rPr>
          </w:pPr>
          <w:hyperlink w:anchor="_Toc22033337" w:history="1">
            <w:r w:rsidR="00564706" w:rsidRPr="00FF773A">
              <w:rPr>
                <w:rStyle w:val="Hyperlink"/>
                <w:rFonts w:ascii="Calibri" w:eastAsia="Times New Roman" w:hAnsi="Calibri"/>
                <w:noProof/>
                <w:sz w:val="20"/>
                <w:szCs w:val="20"/>
              </w:rPr>
              <w:t>3.3 Region</w:t>
            </w:r>
            <w:r w:rsidR="00564706" w:rsidRPr="00FF773A">
              <w:rPr>
                <w:rFonts w:ascii="Calibri" w:hAnsi="Calibri"/>
                <w:noProof/>
                <w:webHidden/>
                <w:sz w:val="20"/>
                <w:szCs w:val="20"/>
              </w:rPr>
              <w:tab/>
            </w:r>
            <w:r w:rsidR="00564706" w:rsidRPr="00FF773A">
              <w:rPr>
                <w:rFonts w:ascii="Calibri" w:hAnsi="Calibri"/>
                <w:noProof/>
                <w:webHidden/>
                <w:sz w:val="20"/>
                <w:szCs w:val="20"/>
              </w:rPr>
              <w:fldChar w:fldCharType="begin"/>
            </w:r>
            <w:r w:rsidR="00564706" w:rsidRPr="00FF773A">
              <w:rPr>
                <w:rFonts w:ascii="Calibri" w:hAnsi="Calibri"/>
                <w:noProof/>
                <w:webHidden/>
                <w:sz w:val="20"/>
                <w:szCs w:val="20"/>
              </w:rPr>
              <w:instrText xml:space="preserve"> PAGEREF _Toc22033337 \h </w:instrText>
            </w:r>
            <w:r w:rsidR="00564706" w:rsidRPr="00FF773A">
              <w:rPr>
                <w:rFonts w:ascii="Calibri" w:hAnsi="Calibri"/>
                <w:noProof/>
                <w:webHidden/>
                <w:sz w:val="20"/>
                <w:szCs w:val="20"/>
              </w:rPr>
            </w:r>
            <w:r w:rsidR="00564706" w:rsidRPr="00FF773A">
              <w:rPr>
                <w:rFonts w:ascii="Calibri" w:hAnsi="Calibri"/>
                <w:noProof/>
                <w:webHidden/>
                <w:sz w:val="20"/>
                <w:szCs w:val="20"/>
              </w:rPr>
              <w:fldChar w:fldCharType="separate"/>
            </w:r>
            <w:r w:rsidR="00564706" w:rsidRPr="00FF773A">
              <w:rPr>
                <w:rFonts w:ascii="Calibri" w:hAnsi="Calibri"/>
                <w:noProof/>
                <w:webHidden/>
                <w:sz w:val="20"/>
                <w:szCs w:val="20"/>
              </w:rPr>
              <w:t>5</w:t>
            </w:r>
            <w:r w:rsidR="00564706" w:rsidRPr="00FF773A">
              <w:rPr>
                <w:rFonts w:ascii="Calibri" w:hAnsi="Calibri"/>
                <w:noProof/>
                <w:webHidden/>
                <w:sz w:val="20"/>
                <w:szCs w:val="20"/>
              </w:rPr>
              <w:fldChar w:fldCharType="end"/>
            </w:r>
          </w:hyperlink>
        </w:p>
        <w:p w14:paraId="09F1B7F9" w14:textId="6BF61A35" w:rsidR="00564706" w:rsidRPr="00FF773A" w:rsidRDefault="00EE235C">
          <w:pPr>
            <w:pStyle w:val="TOC3"/>
            <w:tabs>
              <w:tab w:val="right" w:leader="dot" w:pos="9016"/>
            </w:tabs>
            <w:rPr>
              <w:rFonts w:ascii="Calibri" w:eastAsiaTheme="minorEastAsia" w:hAnsi="Calibri"/>
              <w:noProof/>
              <w:sz w:val="20"/>
              <w:szCs w:val="20"/>
              <w:lang w:eastAsia="en-GB"/>
            </w:rPr>
          </w:pPr>
          <w:hyperlink w:anchor="_Toc22033338" w:history="1">
            <w:r w:rsidR="00564706" w:rsidRPr="00FF773A">
              <w:rPr>
                <w:rStyle w:val="Hyperlink"/>
                <w:rFonts w:ascii="Calibri" w:eastAsia="Times New Roman" w:hAnsi="Calibri"/>
                <w:noProof/>
                <w:sz w:val="20"/>
                <w:szCs w:val="20"/>
              </w:rPr>
              <w:t>3.4 School type</w:t>
            </w:r>
            <w:r w:rsidR="00564706" w:rsidRPr="00FF773A">
              <w:rPr>
                <w:rFonts w:ascii="Calibri" w:hAnsi="Calibri"/>
                <w:noProof/>
                <w:webHidden/>
                <w:sz w:val="20"/>
                <w:szCs w:val="20"/>
              </w:rPr>
              <w:tab/>
            </w:r>
            <w:r w:rsidR="00564706" w:rsidRPr="00FF773A">
              <w:rPr>
                <w:rFonts w:ascii="Calibri" w:hAnsi="Calibri"/>
                <w:noProof/>
                <w:webHidden/>
                <w:sz w:val="20"/>
                <w:szCs w:val="20"/>
              </w:rPr>
              <w:fldChar w:fldCharType="begin"/>
            </w:r>
            <w:r w:rsidR="00564706" w:rsidRPr="00FF773A">
              <w:rPr>
                <w:rFonts w:ascii="Calibri" w:hAnsi="Calibri"/>
                <w:noProof/>
                <w:webHidden/>
                <w:sz w:val="20"/>
                <w:szCs w:val="20"/>
              </w:rPr>
              <w:instrText xml:space="preserve"> PAGEREF _Toc22033338 \h </w:instrText>
            </w:r>
            <w:r w:rsidR="00564706" w:rsidRPr="00FF773A">
              <w:rPr>
                <w:rFonts w:ascii="Calibri" w:hAnsi="Calibri"/>
                <w:noProof/>
                <w:webHidden/>
                <w:sz w:val="20"/>
                <w:szCs w:val="20"/>
              </w:rPr>
            </w:r>
            <w:r w:rsidR="00564706" w:rsidRPr="00FF773A">
              <w:rPr>
                <w:rFonts w:ascii="Calibri" w:hAnsi="Calibri"/>
                <w:noProof/>
                <w:webHidden/>
                <w:sz w:val="20"/>
                <w:szCs w:val="20"/>
              </w:rPr>
              <w:fldChar w:fldCharType="separate"/>
            </w:r>
            <w:r w:rsidR="00564706" w:rsidRPr="00FF773A">
              <w:rPr>
                <w:rFonts w:ascii="Calibri" w:hAnsi="Calibri"/>
                <w:noProof/>
                <w:webHidden/>
                <w:sz w:val="20"/>
                <w:szCs w:val="20"/>
              </w:rPr>
              <w:t>6</w:t>
            </w:r>
            <w:r w:rsidR="00564706" w:rsidRPr="00FF773A">
              <w:rPr>
                <w:rFonts w:ascii="Calibri" w:hAnsi="Calibri"/>
                <w:noProof/>
                <w:webHidden/>
                <w:sz w:val="20"/>
                <w:szCs w:val="20"/>
              </w:rPr>
              <w:fldChar w:fldCharType="end"/>
            </w:r>
          </w:hyperlink>
        </w:p>
        <w:p w14:paraId="192B7160" w14:textId="4012C24A" w:rsidR="00564706" w:rsidRPr="00FF773A" w:rsidRDefault="00EE235C">
          <w:pPr>
            <w:pStyle w:val="TOC3"/>
            <w:tabs>
              <w:tab w:val="right" w:leader="dot" w:pos="9016"/>
            </w:tabs>
            <w:rPr>
              <w:rFonts w:ascii="Calibri" w:eastAsiaTheme="minorEastAsia" w:hAnsi="Calibri"/>
              <w:noProof/>
              <w:sz w:val="20"/>
              <w:szCs w:val="20"/>
              <w:lang w:eastAsia="en-GB"/>
            </w:rPr>
          </w:pPr>
          <w:hyperlink w:anchor="_Toc22033339" w:history="1">
            <w:r w:rsidR="00564706" w:rsidRPr="00FF773A">
              <w:rPr>
                <w:rStyle w:val="Hyperlink"/>
                <w:rFonts w:ascii="Calibri" w:eastAsia="Times New Roman" w:hAnsi="Calibri"/>
                <w:noProof/>
                <w:sz w:val="20"/>
                <w:szCs w:val="20"/>
              </w:rPr>
              <w:t>3.5 Other A-Level subject choice</w:t>
            </w:r>
            <w:r w:rsidR="00564706" w:rsidRPr="00FF773A">
              <w:rPr>
                <w:rFonts w:ascii="Calibri" w:hAnsi="Calibri"/>
                <w:noProof/>
                <w:webHidden/>
                <w:sz w:val="20"/>
                <w:szCs w:val="20"/>
              </w:rPr>
              <w:tab/>
            </w:r>
            <w:r w:rsidR="00564706" w:rsidRPr="00FF773A">
              <w:rPr>
                <w:rFonts w:ascii="Calibri" w:hAnsi="Calibri"/>
                <w:noProof/>
                <w:webHidden/>
                <w:sz w:val="20"/>
                <w:szCs w:val="20"/>
              </w:rPr>
              <w:fldChar w:fldCharType="begin"/>
            </w:r>
            <w:r w:rsidR="00564706" w:rsidRPr="00FF773A">
              <w:rPr>
                <w:rFonts w:ascii="Calibri" w:hAnsi="Calibri"/>
                <w:noProof/>
                <w:webHidden/>
                <w:sz w:val="20"/>
                <w:szCs w:val="20"/>
              </w:rPr>
              <w:instrText xml:space="preserve"> PAGEREF _Toc22033339 \h </w:instrText>
            </w:r>
            <w:r w:rsidR="00564706" w:rsidRPr="00FF773A">
              <w:rPr>
                <w:rFonts w:ascii="Calibri" w:hAnsi="Calibri"/>
                <w:noProof/>
                <w:webHidden/>
                <w:sz w:val="20"/>
                <w:szCs w:val="20"/>
              </w:rPr>
            </w:r>
            <w:r w:rsidR="00564706" w:rsidRPr="00FF773A">
              <w:rPr>
                <w:rFonts w:ascii="Calibri" w:hAnsi="Calibri"/>
                <w:noProof/>
                <w:webHidden/>
                <w:sz w:val="20"/>
                <w:szCs w:val="20"/>
              </w:rPr>
              <w:fldChar w:fldCharType="separate"/>
            </w:r>
            <w:r w:rsidR="00564706" w:rsidRPr="00FF773A">
              <w:rPr>
                <w:rFonts w:ascii="Calibri" w:hAnsi="Calibri"/>
                <w:noProof/>
                <w:webHidden/>
                <w:sz w:val="20"/>
                <w:szCs w:val="20"/>
              </w:rPr>
              <w:t>6</w:t>
            </w:r>
            <w:r w:rsidR="00564706" w:rsidRPr="00FF773A">
              <w:rPr>
                <w:rFonts w:ascii="Calibri" w:hAnsi="Calibri"/>
                <w:noProof/>
                <w:webHidden/>
                <w:sz w:val="20"/>
                <w:szCs w:val="20"/>
              </w:rPr>
              <w:fldChar w:fldCharType="end"/>
            </w:r>
          </w:hyperlink>
        </w:p>
        <w:p w14:paraId="32A91FE8" w14:textId="20A0AA23" w:rsidR="00564706" w:rsidRPr="00FF773A" w:rsidRDefault="00EE235C">
          <w:pPr>
            <w:pStyle w:val="TOC2"/>
            <w:tabs>
              <w:tab w:val="left" w:pos="660"/>
              <w:tab w:val="right" w:leader="dot" w:pos="9016"/>
            </w:tabs>
            <w:rPr>
              <w:rFonts w:ascii="Calibri" w:eastAsiaTheme="minorEastAsia" w:hAnsi="Calibri"/>
              <w:noProof/>
              <w:sz w:val="20"/>
              <w:szCs w:val="20"/>
              <w:lang w:eastAsia="en-GB"/>
            </w:rPr>
          </w:pPr>
          <w:hyperlink w:anchor="_Toc22033340" w:history="1">
            <w:r w:rsidR="00564706" w:rsidRPr="00FF773A">
              <w:rPr>
                <w:rStyle w:val="Hyperlink"/>
                <w:rFonts w:ascii="Calibri" w:hAnsi="Calibri"/>
                <w:noProof/>
                <w:sz w:val="20"/>
                <w:szCs w:val="20"/>
              </w:rPr>
              <w:t>4.</w:t>
            </w:r>
            <w:r w:rsidR="00564706" w:rsidRPr="00FF773A">
              <w:rPr>
                <w:rFonts w:ascii="Calibri" w:eastAsiaTheme="minorEastAsia" w:hAnsi="Calibri"/>
                <w:noProof/>
                <w:sz w:val="20"/>
                <w:szCs w:val="20"/>
                <w:lang w:eastAsia="en-GB"/>
              </w:rPr>
              <w:tab/>
            </w:r>
            <w:r w:rsidR="00564706" w:rsidRPr="00FF773A">
              <w:rPr>
                <w:rStyle w:val="Hyperlink"/>
                <w:rFonts w:ascii="Calibri" w:hAnsi="Calibri"/>
                <w:noProof/>
                <w:sz w:val="20"/>
                <w:szCs w:val="20"/>
              </w:rPr>
              <w:t>Progression to other subjects at degree level</w:t>
            </w:r>
            <w:r w:rsidR="00564706" w:rsidRPr="00FF773A">
              <w:rPr>
                <w:rFonts w:ascii="Calibri" w:hAnsi="Calibri"/>
                <w:noProof/>
                <w:webHidden/>
                <w:sz w:val="20"/>
                <w:szCs w:val="20"/>
              </w:rPr>
              <w:tab/>
            </w:r>
            <w:r w:rsidR="00564706" w:rsidRPr="00FF773A">
              <w:rPr>
                <w:rFonts w:ascii="Calibri" w:hAnsi="Calibri"/>
                <w:noProof/>
                <w:webHidden/>
                <w:sz w:val="20"/>
                <w:szCs w:val="20"/>
              </w:rPr>
              <w:fldChar w:fldCharType="begin"/>
            </w:r>
            <w:r w:rsidR="00564706" w:rsidRPr="00FF773A">
              <w:rPr>
                <w:rFonts w:ascii="Calibri" w:hAnsi="Calibri"/>
                <w:noProof/>
                <w:webHidden/>
                <w:sz w:val="20"/>
                <w:szCs w:val="20"/>
              </w:rPr>
              <w:instrText xml:space="preserve"> PAGEREF _Toc22033340 \h </w:instrText>
            </w:r>
            <w:r w:rsidR="00564706" w:rsidRPr="00FF773A">
              <w:rPr>
                <w:rFonts w:ascii="Calibri" w:hAnsi="Calibri"/>
                <w:noProof/>
                <w:webHidden/>
                <w:sz w:val="20"/>
                <w:szCs w:val="20"/>
              </w:rPr>
            </w:r>
            <w:r w:rsidR="00564706" w:rsidRPr="00FF773A">
              <w:rPr>
                <w:rFonts w:ascii="Calibri" w:hAnsi="Calibri"/>
                <w:noProof/>
                <w:webHidden/>
                <w:sz w:val="20"/>
                <w:szCs w:val="20"/>
              </w:rPr>
              <w:fldChar w:fldCharType="separate"/>
            </w:r>
            <w:r w:rsidR="00564706" w:rsidRPr="00FF773A">
              <w:rPr>
                <w:rFonts w:ascii="Calibri" w:hAnsi="Calibri"/>
                <w:noProof/>
                <w:webHidden/>
                <w:sz w:val="20"/>
                <w:szCs w:val="20"/>
              </w:rPr>
              <w:t>6</w:t>
            </w:r>
            <w:r w:rsidR="00564706" w:rsidRPr="00FF773A">
              <w:rPr>
                <w:rFonts w:ascii="Calibri" w:hAnsi="Calibri"/>
                <w:noProof/>
                <w:webHidden/>
                <w:sz w:val="20"/>
                <w:szCs w:val="20"/>
              </w:rPr>
              <w:fldChar w:fldCharType="end"/>
            </w:r>
          </w:hyperlink>
        </w:p>
        <w:p w14:paraId="1D39CB52" w14:textId="0A78E8A8" w:rsidR="00564706" w:rsidRPr="00FF773A" w:rsidRDefault="00EE235C">
          <w:pPr>
            <w:pStyle w:val="TOC3"/>
            <w:tabs>
              <w:tab w:val="right" w:leader="dot" w:pos="9016"/>
            </w:tabs>
            <w:rPr>
              <w:rFonts w:ascii="Calibri" w:eastAsiaTheme="minorEastAsia" w:hAnsi="Calibri"/>
              <w:noProof/>
              <w:sz w:val="20"/>
              <w:szCs w:val="20"/>
              <w:lang w:eastAsia="en-GB"/>
            </w:rPr>
          </w:pPr>
          <w:hyperlink w:anchor="_Toc22033341" w:history="1">
            <w:r w:rsidR="00564706" w:rsidRPr="00FF773A">
              <w:rPr>
                <w:rStyle w:val="Hyperlink"/>
                <w:rFonts w:ascii="Calibri" w:eastAsia="Times New Roman" w:hAnsi="Calibri"/>
                <w:noProof/>
                <w:sz w:val="20"/>
                <w:szCs w:val="20"/>
              </w:rPr>
              <w:t>4.1 Overview</w:t>
            </w:r>
            <w:r w:rsidR="00564706" w:rsidRPr="00FF773A">
              <w:rPr>
                <w:rFonts w:ascii="Calibri" w:hAnsi="Calibri"/>
                <w:noProof/>
                <w:webHidden/>
                <w:sz w:val="20"/>
                <w:szCs w:val="20"/>
              </w:rPr>
              <w:tab/>
            </w:r>
            <w:r w:rsidR="00564706" w:rsidRPr="00FF773A">
              <w:rPr>
                <w:rFonts w:ascii="Calibri" w:hAnsi="Calibri"/>
                <w:noProof/>
                <w:webHidden/>
                <w:sz w:val="20"/>
                <w:szCs w:val="20"/>
              </w:rPr>
              <w:fldChar w:fldCharType="begin"/>
            </w:r>
            <w:r w:rsidR="00564706" w:rsidRPr="00FF773A">
              <w:rPr>
                <w:rFonts w:ascii="Calibri" w:hAnsi="Calibri"/>
                <w:noProof/>
                <w:webHidden/>
                <w:sz w:val="20"/>
                <w:szCs w:val="20"/>
              </w:rPr>
              <w:instrText xml:space="preserve"> PAGEREF _Toc22033341 \h </w:instrText>
            </w:r>
            <w:r w:rsidR="00564706" w:rsidRPr="00FF773A">
              <w:rPr>
                <w:rFonts w:ascii="Calibri" w:hAnsi="Calibri"/>
                <w:noProof/>
                <w:webHidden/>
                <w:sz w:val="20"/>
                <w:szCs w:val="20"/>
              </w:rPr>
            </w:r>
            <w:r w:rsidR="00564706" w:rsidRPr="00FF773A">
              <w:rPr>
                <w:rFonts w:ascii="Calibri" w:hAnsi="Calibri"/>
                <w:noProof/>
                <w:webHidden/>
                <w:sz w:val="20"/>
                <w:szCs w:val="20"/>
              </w:rPr>
              <w:fldChar w:fldCharType="separate"/>
            </w:r>
            <w:r w:rsidR="00564706" w:rsidRPr="00FF773A">
              <w:rPr>
                <w:rFonts w:ascii="Calibri" w:hAnsi="Calibri"/>
                <w:noProof/>
                <w:webHidden/>
                <w:sz w:val="20"/>
                <w:szCs w:val="20"/>
              </w:rPr>
              <w:t>6</w:t>
            </w:r>
            <w:r w:rsidR="00564706" w:rsidRPr="00FF773A">
              <w:rPr>
                <w:rFonts w:ascii="Calibri" w:hAnsi="Calibri"/>
                <w:noProof/>
                <w:webHidden/>
                <w:sz w:val="20"/>
                <w:szCs w:val="20"/>
              </w:rPr>
              <w:fldChar w:fldCharType="end"/>
            </w:r>
          </w:hyperlink>
        </w:p>
        <w:p w14:paraId="4D39B991" w14:textId="38D2EB68" w:rsidR="00564706" w:rsidRPr="00FF773A" w:rsidRDefault="00EE235C">
          <w:pPr>
            <w:pStyle w:val="TOC3"/>
            <w:tabs>
              <w:tab w:val="right" w:leader="dot" w:pos="9016"/>
            </w:tabs>
            <w:rPr>
              <w:rFonts w:ascii="Calibri" w:eastAsiaTheme="minorEastAsia" w:hAnsi="Calibri"/>
              <w:noProof/>
              <w:sz w:val="20"/>
              <w:szCs w:val="20"/>
              <w:lang w:eastAsia="en-GB"/>
            </w:rPr>
          </w:pPr>
          <w:hyperlink w:anchor="_Toc22033342" w:history="1">
            <w:r w:rsidR="00564706" w:rsidRPr="00FF773A">
              <w:rPr>
                <w:rStyle w:val="Hyperlink"/>
                <w:rFonts w:ascii="Calibri" w:eastAsia="Times New Roman" w:hAnsi="Calibri"/>
                <w:noProof/>
                <w:sz w:val="20"/>
                <w:szCs w:val="20"/>
              </w:rPr>
              <w:t>4.1 Popular alternative subjects</w:t>
            </w:r>
            <w:r w:rsidR="00564706" w:rsidRPr="00FF773A">
              <w:rPr>
                <w:rFonts w:ascii="Calibri" w:hAnsi="Calibri"/>
                <w:noProof/>
                <w:webHidden/>
                <w:sz w:val="20"/>
                <w:szCs w:val="20"/>
              </w:rPr>
              <w:tab/>
            </w:r>
            <w:r w:rsidR="00564706" w:rsidRPr="00FF773A">
              <w:rPr>
                <w:rFonts w:ascii="Calibri" w:hAnsi="Calibri"/>
                <w:noProof/>
                <w:webHidden/>
                <w:sz w:val="20"/>
                <w:szCs w:val="20"/>
              </w:rPr>
              <w:fldChar w:fldCharType="begin"/>
            </w:r>
            <w:r w:rsidR="00564706" w:rsidRPr="00FF773A">
              <w:rPr>
                <w:rFonts w:ascii="Calibri" w:hAnsi="Calibri"/>
                <w:noProof/>
                <w:webHidden/>
                <w:sz w:val="20"/>
                <w:szCs w:val="20"/>
              </w:rPr>
              <w:instrText xml:space="preserve"> PAGEREF _Toc22033342 \h </w:instrText>
            </w:r>
            <w:r w:rsidR="00564706" w:rsidRPr="00FF773A">
              <w:rPr>
                <w:rFonts w:ascii="Calibri" w:hAnsi="Calibri"/>
                <w:noProof/>
                <w:webHidden/>
                <w:sz w:val="20"/>
                <w:szCs w:val="20"/>
              </w:rPr>
            </w:r>
            <w:r w:rsidR="00564706" w:rsidRPr="00FF773A">
              <w:rPr>
                <w:rFonts w:ascii="Calibri" w:hAnsi="Calibri"/>
                <w:noProof/>
                <w:webHidden/>
                <w:sz w:val="20"/>
                <w:szCs w:val="20"/>
              </w:rPr>
              <w:fldChar w:fldCharType="separate"/>
            </w:r>
            <w:r w:rsidR="00564706" w:rsidRPr="00FF773A">
              <w:rPr>
                <w:rFonts w:ascii="Calibri" w:hAnsi="Calibri"/>
                <w:noProof/>
                <w:webHidden/>
                <w:sz w:val="20"/>
                <w:szCs w:val="20"/>
              </w:rPr>
              <w:t>7</w:t>
            </w:r>
            <w:r w:rsidR="00564706" w:rsidRPr="00FF773A">
              <w:rPr>
                <w:rFonts w:ascii="Calibri" w:hAnsi="Calibri"/>
                <w:noProof/>
                <w:webHidden/>
                <w:sz w:val="20"/>
                <w:szCs w:val="20"/>
              </w:rPr>
              <w:fldChar w:fldCharType="end"/>
            </w:r>
          </w:hyperlink>
        </w:p>
        <w:p w14:paraId="07B4B75A" w14:textId="1E4E4631" w:rsidR="00774ED7" w:rsidRPr="00FF773A" w:rsidRDefault="00774ED7">
          <w:pPr>
            <w:rPr>
              <w:rFonts w:ascii="Calibri" w:hAnsi="Calibri"/>
              <w:sz w:val="20"/>
              <w:szCs w:val="20"/>
            </w:rPr>
          </w:pPr>
          <w:r w:rsidRPr="00FF773A">
            <w:rPr>
              <w:rFonts w:ascii="Calibri" w:hAnsi="Calibri"/>
              <w:b/>
              <w:bCs/>
              <w:noProof/>
              <w:sz w:val="20"/>
              <w:szCs w:val="20"/>
            </w:rPr>
            <w:fldChar w:fldCharType="end"/>
          </w:r>
        </w:p>
      </w:sdtContent>
    </w:sdt>
    <w:p w14:paraId="4749512E" w14:textId="77777777" w:rsidR="002E063A" w:rsidRPr="00FF773A" w:rsidRDefault="002E063A" w:rsidP="00CC2619">
      <w:pPr>
        <w:rPr>
          <w:rFonts w:ascii="Calibri" w:hAnsi="Calibri"/>
          <w:sz w:val="20"/>
          <w:szCs w:val="20"/>
        </w:rPr>
      </w:pPr>
    </w:p>
    <w:p w14:paraId="65851311" w14:textId="77777777" w:rsidR="00F85760" w:rsidRPr="00FF773A" w:rsidRDefault="00F85760" w:rsidP="00481529">
      <w:pPr>
        <w:pStyle w:val="Heading2"/>
        <w:contextualSpacing/>
        <w:rPr>
          <w:rFonts w:ascii="Calibri" w:hAnsi="Calibri" w:cs="Calibri"/>
          <w:sz w:val="20"/>
          <w:szCs w:val="20"/>
        </w:rPr>
      </w:pPr>
    </w:p>
    <w:p w14:paraId="68199DDA" w14:textId="77777777" w:rsidR="006D15DA" w:rsidRPr="00FF773A" w:rsidRDefault="006D15DA">
      <w:pPr>
        <w:spacing w:after="160" w:line="259" w:lineRule="auto"/>
        <w:rPr>
          <w:rFonts w:ascii="Calibri" w:eastAsiaTheme="majorEastAsia" w:hAnsi="Calibri"/>
          <w:color w:val="AC005D" w:themeColor="accent1" w:themeShade="BF"/>
          <w:sz w:val="20"/>
          <w:szCs w:val="20"/>
        </w:rPr>
      </w:pPr>
      <w:r w:rsidRPr="00FF773A">
        <w:rPr>
          <w:rFonts w:ascii="Calibri" w:hAnsi="Calibri"/>
          <w:sz w:val="20"/>
          <w:szCs w:val="20"/>
        </w:rPr>
        <w:br w:type="page"/>
      </w:r>
    </w:p>
    <w:p w14:paraId="4FC1FDF1" w14:textId="4EAD7C9F" w:rsidR="000D2107" w:rsidRPr="00FF773A" w:rsidRDefault="000D2107" w:rsidP="00B646E2">
      <w:pPr>
        <w:pStyle w:val="Heading2"/>
        <w:numPr>
          <w:ilvl w:val="0"/>
          <w:numId w:val="25"/>
        </w:numPr>
        <w:rPr>
          <w:rFonts w:ascii="Calibri" w:hAnsi="Calibri" w:cs="Calibri"/>
          <w:sz w:val="20"/>
          <w:szCs w:val="20"/>
        </w:rPr>
      </w:pPr>
      <w:bookmarkStart w:id="51" w:name="_Toc22033328"/>
      <w:r w:rsidRPr="00FF773A">
        <w:rPr>
          <w:rFonts w:ascii="Calibri" w:hAnsi="Calibri" w:cs="Calibri"/>
          <w:sz w:val="20"/>
          <w:szCs w:val="20"/>
        </w:rPr>
        <w:lastRenderedPageBreak/>
        <w:t>Introduction</w:t>
      </w:r>
      <w:bookmarkEnd w:id="51"/>
    </w:p>
    <w:p w14:paraId="14CA1A03" w14:textId="77777777" w:rsidR="00B646E2" w:rsidRPr="00FF773A" w:rsidRDefault="00B646E2" w:rsidP="00B646E2">
      <w:pPr>
        <w:rPr>
          <w:rFonts w:ascii="Calibri" w:hAnsi="Calibri"/>
          <w:sz w:val="20"/>
          <w:szCs w:val="20"/>
        </w:rPr>
      </w:pPr>
    </w:p>
    <w:p w14:paraId="149999A3" w14:textId="428FA6A7" w:rsidR="00FE1484" w:rsidRPr="00FF773A" w:rsidRDefault="00B707EB" w:rsidP="004A117F">
      <w:pPr>
        <w:rPr>
          <w:rFonts w:ascii="Calibri" w:hAnsi="Calibri"/>
          <w:sz w:val="20"/>
          <w:szCs w:val="20"/>
        </w:rPr>
      </w:pPr>
      <w:r w:rsidRPr="00FF773A">
        <w:rPr>
          <w:rFonts w:ascii="Calibri" w:hAnsi="Calibri"/>
          <w:sz w:val="20"/>
          <w:szCs w:val="20"/>
        </w:rPr>
        <w:t xml:space="preserve">This report </w:t>
      </w:r>
      <w:r w:rsidR="00026E71">
        <w:rPr>
          <w:rFonts w:ascii="Calibri" w:hAnsi="Calibri"/>
          <w:sz w:val="20"/>
          <w:szCs w:val="20"/>
        </w:rPr>
        <w:t>analyses</w:t>
      </w:r>
      <w:r w:rsidRPr="00FF773A">
        <w:rPr>
          <w:rFonts w:ascii="Calibri" w:hAnsi="Calibri"/>
          <w:sz w:val="20"/>
          <w:szCs w:val="20"/>
        </w:rPr>
        <w:t xml:space="preserve"> the characteristics of undergraduate geography students, and the progression of A-Level </w:t>
      </w:r>
      <w:r w:rsidR="00D40DEF" w:rsidRPr="00FF773A">
        <w:rPr>
          <w:rFonts w:ascii="Calibri" w:hAnsi="Calibri"/>
          <w:sz w:val="20"/>
          <w:szCs w:val="20"/>
        </w:rPr>
        <w:t>geography</w:t>
      </w:r>
      <w:r w:rsidRPr="00FF773A">
        <w:rPr>
          <w:rFonts w:ascii="Calibri" w:hAnsi="Calibri"/>
          <w:sz w:val="20"/>
          <w:szCs w:val="20"/>
        </w:rPr>
        <w:t xml:space="preserve"> students to higher education. In this </w:t>
      </w:r>
      <w:r w:rsidR="00D40DEF" w:rsidRPr="00FF773A">
        <w:rPr>
          <w:rFonts w:ascii="Calibri" w:hAnsi="Calibri"/>
          <w:sz w:val="20"/>
          <w:szCs w:val="20"/>
        </w:rPr>
        <w:t>particular</w:t>
      </w:r>
      <w:r w:rsidRPr="00FF773A">
        <w:rPr>
          <w:rFonts w:ascii="Calibri" w:hAnsi="Calibri"/>
          <w:sz w:val="20"/>
          <w:szCs w:val="20"/>
        </w:rPr>
        <w:t xml:space="preserve"> report, </w:t>
      </w:r>
      <w:r w:rsidR="004A117F" w:rsidRPr="00FF773A">
        <w:rPr>
          <w:rFonts w:ascii="Calibri" w:hAnsi="Calibri"/>
          <w:sz w:val="20"/>
          <w:szCs w:val="20"/>
        </w:rPr>
        <w:t>we look at the progression of A-Level geography students to higher education, during the period 2004/05-2016/17.</w:t>
      </w:r>
      <w:r w:rsidR="00B646E2" w:rsidRPr="00FF773A">
        <w:rPr>
          <w:rStyle w:val="FootnoteReference"/>
          <w:rFonts w:ascii="Calibri" w:hAnsi="Calibri"/>
          <w:sz w:val="20"/>
          <w:szCs w:val="20"/>
        </w:rPr>
        <w:footnoteReference w:id="1"/>
      </w:r>
      <w:r w:rsidR="00B646E2" w:rsidRPr="00FF773A">
        <w:rPr>
          <w:rFonts w:ascii="Calibri" w:hAnsi="Calibri"/>
          <w:sz w:val="20"/>
          <w:szCs w:val="20"/>
        </w:rPr>
        <w:t xml:space="preserve"> </w:t>
      </w:r>
    </w:p>
    <w:p w14:paraId="622BCF45" w14:textId="77777777" w:rsidR="00FE1484" w:rsidRPr="00FF773A" w:rsidRDefault="00FE1484" w:rsidP="004A117F">
      <w:pPr>
        <w:rPr>
          <w:rFonts w:ascii="Calibri" w:hAnsi="Calibri"/>
          <w:sz w:val="20"/>
          <w:szCs w:val="20"/>
        </w:rPr>
      </w:pPr>
    </w:p>
    <w:p w14:paraId="4D001E51" w14:textId="3EC9E390" w:rsidR="004A117F" w:rsidRPr="00FF773A" w:rsidRDefault="004A117F" w:rsidP="004A117F">
      <w:pPr>
        <w:rPr>
          <w:rFonts w:ascii="Calibri" w:hAnsi="Calibri"/>
          <w:sz w:val="20"/>
          <w:szCs w:val="20"/>
        </w:rPr>
      </w:pPr>
      <w:r w:rsidRPr="00FF773A">
        <w:rPr>
          <w:rFonts w:ascii="Calibri" w:hAnsi="Calibri"/>
          <w:sz w:val="20"/>
          <w:szCs w:val="20"/>
        </w:rPr>
        <w:t xml:space="preserve">There are two </w:t>
      </w:r>
      <w:r w:rsidR="00B646E2" w:rsidRPr="00FF773A">
        <w:rPr>
          <w:rFonts w:ascii="Calibri" w:hAnsi="Calibri"/>
          <w:sz w:val="20"/>
          <w:szCs w:val="20"/>
        </w:rPr>
        <w:t xml:space="preserve">main </w:t>
      </w:r>
      <w:r w:rsidRPr="00FF773A">
        <w:rPr>
          <w:rFonts w:ascii="Calibri" w:hAnsi="Calibri"/>
          <w:sz w:val="20"/>
          <w:szCs w:val="20"/>
        </w:rPr>
        <w:t xml:space="preserve">sections: an examination of how likely different groups of students were to progress to study </w:t>
      </w:r>
      <w:r w:rsidR="005D0B21" w:rsidRPr="00FF773A">
        <w:rPr>
          <w:rFonts w:ascii="Calibri" w:hAnsi="Calibri"/>
          <w:sz w:val="20"/>
          <w:szCs w:val="20"/>
        </w:rPr>
        <w:t>geography</w:t>
      </w:r>
      <w:r w:rsidRPr="00FF773A">
        <w:rPr>
          <w:rFonts w:ascii="Calibri" w:hAnsi="Calibri"/>
          <w:sz w:val="20"/>
          <w:szCs w:val="20"/>
        </w:rPr>
        <w:t xml:space="preserve"> at university; and an </w:t>
      </w:r>
      <w:r w:rsidR="005D0B21" w:rsidRPr="00FF773A">
        <w:rPr>
          <w:rFonts w:ascii="Calibri" w:hAnsi="Calibri"/>
          <w:sz w:val="20"/>
          <w:szCs w:val="20"/>
        </w:rPr>
        <w:t>analysis</w:t>
      </w:r>
      <w:r w:rsidRPr="00FF773A">
        <w:rPr>
          <w:rFonts w:ascii="Calibri" w:hAnsi="Calibri"/>
          <w:sz w:val="20"/>
          <w:szCs w:val="20"/>
        </w:rPr>
        <w:t xml:space="preserve"> of the subjects studied by those A-Level geography students who did progress to university, but chose not to study </w:t>
      </w:r>
      <w:r w:rsidR="005D0B21" w:rsidRPr="00FF773A">
        <w:rPr>
          <w:rFonts w:ascii="Calibri" w:hAnsi="Calibri"/>
          <w:sz w:val="20"/>
          <w:szCs w:val="20"/>
        </w:rPr>
        <w:t>geography</w:t>
      </w:r>
      <w:r w:rsidRPr="00FF773A">
        <w:rPr>
          <w:rFonts w:ascii="Calibri" w:hAnsi="Calibri"/>
          <w:sz w:val="20"/>
          <w:szCs w:val="20"/>
        </w:rPr>
        <w:t>.</w:t>
      </w:r>
    </w:p>
    <w:p w14:paraId="1897F7A6" w14:textId="77777777" w:rsidR="004A117F" w:rsidRPr="00FF773A" w:rsidRDefault="004A117F" w:rsidP="004A117F">
      <w:pPr>
        <w:rPr>
          <w:rFonts w:ascii="Calibri" w:hAnsi="Calibri"/>
          <w:sz w:val="20"/>
          <w:szCs w:val="20"/>
        </w:rPr>
      </w:pPr>
    </w:p>
    <w:p w14:paraId="4EAFE72D" w14:textId="77777777" w:rsidR="00B707EB" w:rsidRPr="00FF773A" w:rsidRDefault="00B707EB" w:rsidP="00B707EB">
      <w:pPr>
        <w:rPr>
          <w:rFonts w:ascii="Calibri" w:hAnsi="Calibri"/>
          <w:sz w:val="20"/>
          <w:szCs w:val="20"/>
        </w:rPr>
      </w:pPr>
      <w:r w:rsidRPr="00FF773A">
        <w:rPr>
          <w:rFonts w:ascii="Calibri" w:hAnsi="Calibri"/>
          <w:sz w:val="20"/>
          <w:szCs w:val="20"/>
        </w:rPr>
        <w:t>A separate document is available which describes the methodology followed and definitions used.</w:t>
      </w:r>
    </w:p>
    <w:p w14:paraId="70973D0C" w14:textId="77777777" w:rsidR="00B707EB" w:rsidRPr="00FF773A" w:rsidRDefault="00B707EB" w:rsidP="00B707EB">
      <w:pPr>
        <w:rPr>
          <w:rFonts w:ascii="Calibri" w:hAnsi="Calibri"/>
          <w:sz w:val="20"/>
          <w:szCs w:val="20"/>
        </w:rPr>
      </w:pPr>
    </w:p>
    <w:p w14:paraId="798C19E5" w14:textId="016B2DD1" w:rsidR="002F04E4" w:rsidRPr="00FF773A" w:rsidRDefault="00EC59B6" w:rsidP="00EC59B6">
      <w:pPr>
        <w:pStyle w:val="Heading3"/>
        <w:rPr>
          <w:rFonts w:ascii="Calibri" w:hAnsi="Calibri" w:cs="Calibri"/>
          <w:sz w:val="20"/>
          <w:szCs w:val="20"/>
        </w:rPr>
      </w:pPr>
      <w:bookmarkStart w:id="52" w:name="_Toc22033329"/>
      <w:r w:rsidRPr="00FF773A">
        <w:rPr>
          <w:rFonts w:ascii="Calibri" w:hAnsi="Calibri" w:cs="Calibri"/>
          <w:sz w:val="20"/>
          <w:szCs w:val="20"/>
        </w:rPr>
        <w:t>Acknowledgments</w:t>
      </w:r>
      <w:bookmarkEnd w:id="52"/>
    </w:p>
    <w:p w14:paraId="19F6119D" w14:textId="556984EF" w:rsidR="00AA037B" w:rsidRPr="00FF773A" w:rsidRDefault="00B707EB" w:rsidP="00D40DEF">
      <w:pPr>
        <w:rPr>
          <w:rFonts w:ascii="Calibri" w:hAnsi="Calibri"/>
          <w:sz w:val="20"/>
          <w:szCs w:val="20"/>
        </w:rPr>
      </w:pPr>
      <w:r w:rsidRPr="00FF773A">
        <w:rPr>
          <w:rFonts w:ascii="Calibri" w:hAnsi="Calibri"/>
          <w:sz w:val="20"/>
          <w:szCs w:val="20"/>
        </w:rPr>
        <w:t xml:space="preserve">This publication includes analysis of the Department for Education National Pupil Database, linked to the HESA student record. Inferences or conclusions derived from the NPD or the HESA student record in this publication are the responsibility of FFT Education </w:t>
      </w:r>
      <w:proofErr w:type="spellStart"/>
      <w:r w:rsidRPr="00FF773A">
        <w:rPr>
          <w:rFonts w:ascii="Calibri" w:hAnsi="Calibri"/>
          <w:sz w:val="20"/>
          <w:szCs w:val="20"/>
        </w:rPr>
        <w:t>Datalab</w:t>
      </w:r>
      <w:proofErr w:type="spellEnd"/>
      <w:r w:rsidRPr="00FF773A">
        <w:rPr>
          <w:rFonts w:ascii="Calibri" w:hAnsi="Calibri"/>
          <w:sz w:val="20"/>
          <w:szCs w:val="20"/>
        </w:rPr>
        <w:t xml:space="preserve"> and not the Department for Education or HESA.</w:t>
      </w:r>
    </w:p>
    <w:p w14:paraId="4C1D9D2A" w14:textId="126EAE8C" w:rsidR="007D543C" w:rsidRPr="00FF773A" w:rsidRDefault="007D543C" w:rsidP="00D40DEF">
      <w:pPr>
        <w:rPr>
          <w:rFonts w:ascii="Calibri" w:hAnsi="Calibri"/>
          <w:sz w:val="20"/>
          <w:szCs w:val="20"/>
        </w:rPr>
      </w:pPr>
    </w:p>
    <w:p w14:paraId="3B2ADABF" w14:textId="596AB7E3" w:rsidR="007D543C" w:rsidRPr="00FF773A" w:rsidRDefault="007D543C" w:rsidP="00D40DEF">
      <w:pPr>
        <w:rPr>
          <w:rFonts w:ascii="Calibri" w:hAnsi="Calibri"/>
          <w:sz w:val="20"/>
          <w:szCs w:val="20"/>
        </w:rPr>
      </w:pPr>
      <w:r w:rsidRPr="00FF773A">
        <w:rPr>
          <w:rFonts w:ascii="Calibri" w:hAnsi="Calibri"/>
          <w:sz w:val="20"/>
          <w:szCs w:val="20"/>
        </w:rPr>
        <w:t>This work was produced using statistical data from ONS. The use of the ONS statistical data in this work does not imply the endorsement of the ONS in relation to the interpretation or analysis of the statistical data.</w:t>
      </w:r>
    </w:p>
    <w:p w14:paraId="68FE76A1" w14:textId="77777777" w:rsidR="00B707EB" w:rsidRPr="00FF773A" w:rsidRDefault="00B707EB" w:rsidP="00B707EB">
      <w:pPr>
        <w:rPr>
          <w:rFonts w:ascii="Calibri" w:hAnsi="Calibri"/>
          <w:sz w:val="20"/>
          <w:szCs w:val="20"/>
        </w:rPr>
      </w:pPr>
    </w:p>
    <w:p w14:paraId="621DBE3F" w14:textId="757E6B16" w:rsidR="00AA037B" w:rsidRDefault="00AA037B" w:rsidP="00AA037B">
      <w:pPr>
        <w:pStyle w:val="Heading3"/>
        <w:rPr>
          <w:rFonts w:ascii="Calibri" w:hAnsi="Calibri" w:cs="Calibri"/>
          <w:sz w:val="20"/>
          <w:szCs w:val="20"/>
        </w:rPr>
      </w:pPr>
      <w:bookmarkStart w:id="53" w:name="_Toc22033330"/>
      <w:r w:rsidRPr="00FF773A">
        <w:rPr>
          <w:rFonts w:ascii="Calibri" w:hAnsi="Calibri" w:cs="Calibri"/>
          <w:sz w:val="20"/>
          <w:szCs w:val="20"/>
        </w:rPr>
        <w:t>Navigation</w:t>
      </w:r>
      <w:bookmarkEnd w:id="53"/>
    </w:p>
    <w:p w14:paraId="283679F1" w14:textId="65118456" w:rsidR="00AA037B" w:rsidRPr="00FF773A" w:rsidRDefault="00B707EB">
      <w:pPr>
        <w:spacing w:after="160" w:line="259" w:lineRule="auto"/>
        <w:rPr>
          <w:rFonts w:ascii="Calibri" w:hAnsi="Calibri"/>
          <w:sz w:val="20"/>
          <w:szCs w:val="20"/>
        </w:rPr>
      </w:pPr>
      <w:r w:rsidRPr="00FF773A">
        <w:rPr>
          <w:rFonts w:ascii="Calibri" w:hAnsi="Calibri"/>
          <w:sz w:val="20"/>
          <w:szCs w:val="20"/>
        </w:rPr>
        <w:t>Titles used in sections 3</w:t>
      </w:r>
      <w:r w:rsidR="00AC4DE9" w:rsidRPr="00FF773A">
        <w:rPr>
          <w:rFonts w:ascii="Calibri" w:hAnsi="Calibri"/>
          <w:sz w:val="20"/>
          <w:szCs w:val="20"/>
        </w:rPr>
        <w:t xml:space="preserve"> of this report, and the title of section 4, </w:t>
      </w:r>
      <w:r w:rsidRPr="00FF773A">
        <w:rPr>
          <w:rFonts w:ascii="Calibri" w:hAnsi="Calibri"/>
          <w:sz w:val="20"/>
          <w:szCs w:val="20"/>
        </w:rPr>
        <w:t xml:space="preserve">correspond to worksheets in the Excel document provided showing </w:t>
      </w:r>
      <w:proofErr w:type="gramStart"/>
      <w:r w:rsidRPr="00FF773A">
        <w:rPr>
          <w:rFonts w:ascii="Calibri" w:hAnsi="Calibri"/>
          <w:sz w:val="20"/>
          <w:szCs w:val="20"/>
        </w:rPr>
        <w:t>all of</w:t>
      </w:r>
      <w:proofErr w:type="gramEnd"/>
      <w:r w:rsidRPr="00FF773A">
        <w:rPr>
          <w:rFonts w:ascii="Calibri" w:hAnsi="Calibri"/>
          <w:sz w:val="20"/>
          <w:szCs w:val="20"/>
        </w:rPr>
        <w:t xml:space="preserve"> the results of this </w:t>
      </w:r>
      <w:r w:rsidRPr="00EE235C">
        <w:rPr>
          <w:rFonts w:ascii="Calibri" w:hAnsi="Calibri"/>
          <w:sz w:val="20"/>
          <w:szCs w:val="20"/>
        </w:rPr>
        <w:t>project. Thi</w:t>
      </w:r>
      <w:r w:rsidRPr="00FF773A">
        <w:rPr>
          <w:rFonts w:ascii="Calibri" w:hAnsi="Calibri"/>
          <w:sz w:val="20"/>
          <w:szCs w:val="20"/>
        </w:rPr>
        <w:t xml:space="preserve">s workbook also includes charts showing trends in </w:t>
      </w:r>
      <w:r w:rsidR="00F16492" w:rsidRPr="00FF773A">
        <w:rPr>
          <w:rFonts w:ascii="Calibri" w:hAnsi="Calibri"/>
          <w:sz w:val="20"/>
          <w:szCs w:val="20"/>
        </w:rPr>
        <w:t>progression</w:t>
      </w:r>
      <w:r w:rsidRPr="00FF773A">
        <w:rPr>
          <w:rFonts w:ascii="Calibri" w:hAnsi="Calibri"/>
          <w:sz w:val="20"/>
          <w:szCs w:val="20"/>
        </w:rPr>
        <w:t>. Sections 3 and 4 of this report are best read as an accompaniment to these charts.</w:t>
      </w:r>
    </w:p>
    <w:p w14:paraId="28F17019" w14:textId="77777777" w:rsidR="00026E71" w:rsidRDefault="00026E71" w:rsidP="00EB61C0">
      <w:pPr>
        <w:pStyle w:val="Heading2"/>
        <w:rPr>
          <w:rFonts w:ascii="Calibri" w:hAnsi="Calibri" w:cs="Calibri"/>
          <w:sz w:val="20"/>
          <w:szCs w:val="20"/>
        </w:rPr>
      </w:pPr>
      <w:bookmarkStart w:id="54" w:name="_Toc22033331"/>
    </w:p>
    <w:p w14:paraId="1F88BB0E" w14:textId="16BE9739" w:rsidR="00B707EB" w:rsidRPr="00FF773A" w:rsidRDefault="00B707EB" w:rsidP="00EB61C0">
      <w:pPr>
        <w:pStyle w:val="Heading2"/>
        <w:rPr>
          <w:rFonts w:ascii="Calibri" w:hAnsi="Calibri" w:cs="Calibri"/>
          <w:sz w:val="20"/>
          <w:szCs w:val="20"/>
        </w:rPr>
      </w:pPr>
      <w:r w:rsidRPr="00FF773A">
        <w:rPr>
          <w:rFonts w:ascii="Calibri" w:hAnsi="Calibri" w:cs="Calibri"/>
          <w:sz w:val="20"/>
          <w:szCs w:val="20"/>
        </w:rPr>
        <w:t>2. Summary</w:t>
      </w:r>
      <w:bookmarkEnd w:id="54"/>
      <w:r w:rsidRPr="00FF773A">
        <w:rPr>
          <w:rFonts w:ascii="Calibri" w:hAnsi="Calibri" w:cs="Calibri"/>
          <w:sz w:val="20"/>
          <w:szCs w:val="20"/>
        </w:rPr>
        <w:t xml:space="preserve"> </w:t>
      </w:r>
    </w:p>
    <w:p w14:paraId="6B21D7FC" w14:textId="1D8A3734" w:rsidR="00F16492" w:rsidRPr="00FF773A" w:rsidRDefault="00F16492" w:rsidP="00F16492">
      <w:pPr>
        <w:rPr>
          <w:rFonts w:ascii="Calibri" w:hAnsi="Calibri"/>
          <w:sz w:val="20"/>
          <w:szCs w:val="20"/>
        </w:rPr>
      </w:pPr>
      <w:r w:rsidRPr="00FF773A">
        <w:rPr>
          <w:rFonts w:ascii="Calibri" w:hAnsi="Calibri"/>
          <w:sz w:val="20"/>
          <w:szCs w:val="20"/>
        </w:rPr>
        <w:t>Over the period from</w:t>
      </w:r>
      <w:r w:rsidR="00B707EB" w:rsidRPr="00FF773A">
        <w:rPr>
          <w:rFonts w:ascii="Calibri" w:hAnsi="Calibri"/>
          <w:sz w:val="20"/>
          <w:szCs w:val="20"/>
        </w:rPr>
        <w:t xml:space="preserve"> 2005</w:t>
      </w:r>
      <w:r w:rsidRPr="00FF773A">
        <w:rPr>
          <w:rFonts w:ascii="Calibri" w:hAnsi="Calibri"/>
          <w:sz w:val="20"/>
          <w:szCs w:val="20"/>
        </w:rPr>
        <w:t xml:space="preserve"> to 2015, the number of </w:t>
      </w:r>
      <w:r w:rsidR="00B646E2" w:rsidRPr="00FF773A">
        <w:rPr>
          <w:rFonts w:ascii="Calibri" w:hAnsi="Calibri"/>
          <w:sz w:val="20"/>
          <w:szCs w:val="20"/>
        </w:rPr>
        <w:t>A-Level</w:t>
      </w:r>
      <w:r w:rsidRPr="00FF773A">
        <w:rPr>
          <w:rFonts w:ascii="Calibri" w:hAnsi="Calibri"/>
          <w:sz w:val="20"/>
          <w:szCs w:val="20"/>
        </w:rPr>
        <w:t xml:space="preserve"> geography students progressing to study geography at university</w:t>
      </w:r>
      <w:r w:rsidR="00AF3811" w:rsidRPr="00FF773A">
        <w:rPr>
          <w:rStyle w:val="FootnoteReference"/>
          <w:rFonts w:ascii="Calibri" w:hAnsi="Calibri"/>
          <w:sz w:val="20"/>
          <w:szCs w:val="20"/>
        </w:rPr>
        <w:footnoteReference w:id="2"/>
      </w:r>
      <w:r w:rsidRPr="00FF773A">
        <w:rPr>
          <w:rFonts w:ascii="Calibri" w:hAnsi="Calibri"/>
          <w:sz w:val="20"/>
          <w:szCs w:val="20"/>
        </w:rPr>
        <w:t xml:space="preserve"> has increased from 5,743 to 6,547. This trend generally echoes trends in the number of students studying geography at A-Level; the proportion of students progressing has remained fairly consistent, at around 19-20%. </w:t>
      </w:r>
    </w:p>
    <w:p w14:paraId="0C67D623" w14:textId="77777777" w:rsidR="00F16492" w:rsidRPr="00FF773A" w:rsidRDefault="00F16492" w:rsidP="00F16492">
      <w:pPr>
        <w:rPr>
          <w:rFonts w:ascii="Calibri" w:hAnsi="Calibri"/>
          <w:sz w:val="20"/>
          <w:szCs w:val="20"/>
        </w:rPr>
      </w:pPr>
    </w:p>
    <w:p w14:paraId="66D33516" w14:textId="3BFB844B" w:rsidR="00F16492" w:rsidRPr="00FF773A" w:rsidRDefault="00FE1484" w:rsidP="00F16492">
      <w:pPr>
        <w:rPr>
          <w:rFonts w:ascii="Calibri" w:hAnsi="Calibri"/>
          <w:sz w:val="20"/>
          <w:szCs w:val="20"/>
        </w:rPr>
      </w:pPr>
      <w:r w:rsidRPr="00FF773A">
        <w:rPr>
          <w:rFonts w:ascii="Calibri" w:hAnsi="Calibri"/>
          <w:sz w:val="20"/>
          <w:szCs w:val="20"/>
        </w:rPr>
        <w:t>In the graph overleaf</w:t>
      </w:r>
      <w:r w:rsidR="00F16492" w:rsidRPr="00FF773A">
        <w:rPr>
          <w:rFonts w:ascii="Calibri" w:hAnsi="Calibri"/>
          <w:sz w:val="20"/>
          <w:szCs w:val="20"/>
        </w:rPr>
        <w:t xml:space="preserve">, </w:t>
      </w:r>
      <w:r w:rsidR="00026E71">
        <w:rPr>
          <w:rFonts w:ascii="Calibri" w:hAnsi="Calibri"/>
          <w:sz w:val="20"/>
          <w:szCs w:val="20"/>
        </w:rPr>
        <w:t>to take account of</w:t>
      </w:r>
      <w:r w:rsidR="00F16492" w:rsidRPr="00FF773A">
        <w:rPr>
          <w:rFonts w:ascii="Calibri" w:hAnsi="Calibri"/>
          <w:sz w:val="20"/>
          <w:szCs w:val="20"/>
        </w:rPr>
        <w:t xml:space="preserve"> a significant number of students </w:t>
      </w:r>
      <w:r w:rsidR="00026E71">
        <w:rPr>
          <w:rFonts w:ascii="Calibri" w:hAnsi="Calibri"/>
          <w:sz w:val="20"/>
          <w:szCs w:val="20"/>
        </w:rPr>
        <w:t xml:space="preserve">who </w:t>
      </w:r>
      <w:r w:rsidR="00F16492" w:rsidRPr="00FF773A">
        <w:rPr>
          <w:rFonts w:ascii="Calibri" w:hAnsi="Calibri"/>
          <w:sz w:val="20"/>
          <w:szCs w:val="20"/>
        </w:rPr>
        <w:t>progress to university two or more years after completing A-Levels</w:t>
      </w:r>
      <w:r w:rsidR="00026E71">
        <w:rPr>
          <w:rFonts w:ascii="Calibri" w:hAnsi="Calibri"/>
          <w:sz w:val="20"/>
          <w:szCs w:val="20"/>
        </w:rPr>
        <w:t xml:space="preserve">, we show </w:t>
      </w:r>
      <w:r w:rsidR="00F16492" w:rsidRPr="00FF773A">
        <w:rPr>
          <w:rFonts w:ascii="Calibri" w:hAnsi="Calibri"/>
          <w:sz w:val="20"/>
          <w:szCs w:val="20"/>
        </w:rPr>
        <w:t>those students who went on to take a geography degree within a year of completing th</w:t>
      </w:r>
      <w:r w:rsidR="00026E71">
        <w:rPr>
          <w:rFonts w:ascii="Calibri" w:hAnsi="Calibri"/>
          <w:sz w:val="20"/>
          <w:szCs w:val="20"/>
        </w:rPr>
        <w:t>eir A-Levels. The</w:t>
      </w:r>
      <w:r w:rsidR="006D51D8" w:rsidRPr="00FF773A">
        <w:rPr>
          <w:rFonts w:ascii="Calibri" w:hAnsi="Calibri"/>
          <w:sz w:val="20"/>
          <w:szCs w:val="20"/>
        </w:rPr>
        <w:t xml:space="preserve"> spike in 2011</w:t>
      </w:r>
      <w:r w:rsidR="00026E71">
        <w:rPr>
          <w:rFonts w:ascii="Calibri" w:hAnsi="Calibri"/>
          <w:sz w:val="20"/>
          <w:szCs w:val="20"/>
        </w:rPr>
        <w:t xml:space="preserve"> is </w:t>
      </w:r>
      <w:r w:rsidR="005D0B21" w:rsidRPr="00FF773A">
        <w:rPr>
          <w:rFonts w:ascii="Calibri" w:hAnsi="Calibri"/>
          <w:sz w:val="20"/>
          <w:szCs w:val="20"/>
        </w:rPr>
        <w:t>probably</w:t>
      </w:r>
      <w:r w:rsidR="006D51D8" w:rsidRPr="00FF773A">
        <w:rPr>
          <w:rFonts w:ascii="Calibri" w:hAnsi="Calibri"/>
          <w:sz w:val="20"/>
          <w:szCs w:val="20"/>
        </w:rPr>
        <w:t xml:space="preserve"> the result of reforms to higher education spending in 2012.</w:t>
      </w:r>
    </w:p>
    <w:p w14:paraId="05302B2B" w14:textId="5D343BF6" w:rsidR="00F16492" w:rsidRPr="00FF773A" w:rsidRDefault="00F16492" w:rsidP="00F16492">
      <w:pPr>
        <w:rPr>
          <w:rFonts w:ascii="Calibri" w:hAnsi="Calibri"/>
          <w:sz w:val="20"/>
          <w:szCs w:val="20"/>
        </w:rPr>
      </w:pPr>
    </w:p>
    <w:p w14:paraId="7AEE2A89" w14:textId="67F86C3F" w:rsidR="00F16492" w:rsidRPr="00FF773A" w:rsidRDefault="00F16492" w:rsidP="00026E71">
      <w:pPr>
        <w:jc w:val="center"/>
        <w:rPr>
          <w:rFonts w:ascii="Calibri" w:hAnsi="Calibri"/>
          <w:sz w:val="20"/>
          <w:szCs w:val="20"/>
        </w:rPr>
      </w:pPr>
      <w:r w:rsidRPr="00FF773A">
        <w:rPr>
          <w:rFonts w:ascii="Calibri" w:hAnsi="Calibri"/>
          <w:noProof/>
          <w:sz w:val="20"/>
          <w:szCs w:val="20"/>
          <w:lang w:eastAsia="en-GB"/>
        </w:rPr>
        <w:drawing>
          <wp:inline distT="0" distB="0" distL="0" distR="0" wp14:anchorId="405DA67F" wp14:editId="3F1FF298">
            <wp:extent cx="3971925" cy="2185988"/>
            <wp:effectExtent l="0" t="0" r="9525" b="50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E925D5" w14:textId="77777777" w:rsidR="00F16492" w:rsidRPr="00FF773A" w:rsidRDefault="00F16492" w:rsidP="00F16492">
      <w:pPr>
        <w:rPr>
          <w:rFonts w:ascii="Calibri" w:hAnsi="Calibri"/>
          <w:sz w:val="20"/>
          <w:szCs w:val="20"/>
        </w:rPr>
      </w:pPr>
    </w:p>
    <w:p w14:paraId="61B9C76B" w14:textId="47AA8AC2" w:rsidR="005E6575" w:rsidRPr="00FF773A" w:rsidRDefault="00F16492" w:rsidP="00B707EB">
      <w:pPr>
        <w:rPr>
          <w:rFonts w:ascii="Calibri" w:hAnsi="Calibri"/>
          <w:noProof/>
          <w:sz w:val="20"/>
          <w:szCs w:val="20"/>
          <w:lang w:eastAsia="en-GB"/>
        </w:rPr>
      </w:pPr>
      <w:r w:rsidRPr="00FF773A">
        <w:rPr>
          <w:rFonts w:ascii="Calibri" w:hAnsi="Calibri"/>
          <w:sz w:val="20"/>
          <w:szCs w:val="20"/>
        </w:rPr>
        <w:t xml:space="preserve">We also looked at rates of progression broken down by type of geography degree: </w:t>
      </w:r>
      <w:r w:rsidR="00AF3811" w:rsidRPr="00FF773A">
        <w:rPr>
          <w:rFonts w:ascii="Calibri" w:hAnsi="Calibri"/>
          <w:sz w:val="20"/>
          <w:szCs w:val="20"/>
        </w:rPr>
        <w:t xml:space="preserve">those categorised by </w:t>
      </w:r>
      <w:r w:rsidR="00014894" w:rsidRPr="00FF773A">
        <w:rPr>
          <w:rFonts w:ascii="Calibri" w:hAnsi="Calibri"/>
          <w:sz w:val="20"/>
          <w:szCs w:val="20"/>
        </w:rPr>
        <w:t>th</w:t>
      </w:r>
      <w:r w:rsidR="00AF3811" w:rsidRPr="00FF773A">
        <w:rPr>
          <w:rFonts w:ascii="Calibri" w:hAnsi="Calibri"/>
          <w:sz w:val="20"/>
          <w:szCs w:val="20"/>
        </w:rPr>
        <w:t xml:space="preserve">e Joint Academic Coding System (JACS) </w:t>
      </w:r>
      <w:r w:rsidR="00014894" w:rsidRPr="00FF773A">
        <w:rPr>
          <w:rFonts w:ascii="Calibri" w:hAnsi="Calibri"/>
          <w:sz w:val="20"/>
          <w:szCs w:val="20"/>
        </w:rPr>
        <w:t xml:space="preserve">as either: </w:t>
      </w:r>
      <w:r w:rsidRPr="00FF773A">
        <w:rPr>
          <w:rFonts w:ascii="Calibri" w:hAnsi="Calibri"/>
          <w:sz w:val="20"/>
          <w:szCs w:val="20"/>
        </w:rPr>
        <w:t>p</w:t>
      </w:r>
      <w:r w:rsidR="00014894" w:rsidRPr="00FF773A">
        <w:rPr>
          <w:rFonts w:ascii="Calibri" w:hAnsi="Calibri"/>
          <w:sz w:val="20"/>
          <w:szCs w:val="20"/>
        </w:rPr>
        <w:t xml:space="preserve">hysical geographical sciences (JACS code: F8) and human and social geography (JACS code: L7).Throughout this report, we will refer to these degree types using their JACS codes. </w:t>
      </w:r>
      <w:r w:rsidR="00683780" w:rsidRPr="00FF773A">
        <w:rPr>
          <w:rFonts w:ascii="Calibri" w:hAnsi="Calibri"/>
          <w:sz w:val="20"/>
          <w:szCs w:val="20"/>
        </w:rPr>
        <w:t>B</w:t>
      </w:r>
      <w:r w:rsidR="00C306A5" w:rsidRPr="00FF773A">
        <w:rPr>
          <w:rFonts w:ascii="Calibri" w:hAnsi="Calibri"/>
          <w:sz w:val="20"/>
          <w:szCs w:val="20"/>
        </w:rPr>
        <w:t>etween 2005</w:t>
      </w:r>
      <w:r w:rsidR="00683780" w:rsidRPr="00FF773A">
        <w:rPr>
          <w:rFonts w:ascii="Calibri" w:hAnsi="Calibri"/>
          <w:sz w:val="20"/>
          <w:szCs w:val="20"/>
        </w:rPr>
        <w:t xml:space="preserve"> and 2013, more students progressed to F8 degrees than L7, but since 2013 this has reversed.</w:t>
      </w:r>
      <w:r w:rsidRPr="00FF773A">
        <w:rPr>
          <w:rFonts w:ascii="Calibri" w:hAnsi="Calibri"/>
          <w:noProof/>
          <w:sz w:val="20"/>
          <w:szCs w:val="20"/>
          <w:lang w:eastAsia="en-GB"/>
        </w:rPr>
        <w:t xml:space="preserve"> </w:t>
      </w:r>
    </w:p>
    <w:p w14:paraId="4C7169E4" w14:textId="77777777" w:rsidR="00C306A5" w:rsidRPr="00FF773A" w:rsidRDefault="00C306A5" w:rsidP="00B707EB">
      <w:pPr>
        <w:rPr>
          <w:rFonts w:ascii="Calibri" w:hAnsi="Calibri"/>
          <w:sz w:val="20"/>
          <w:szCs w:val="20"/>
        </w:rPr>
      </w:pPr>
    </w:p>
    <w:p w14:paraId="5C798B27" w14:textId="772AF176" w:rsidR="00014894" w:rsidRPr="00FF773A" w:rsidRDefault="00014894" w:rsidP="00C306A5">
      <w:pPr>
        <w:jc w:val="center"/>
        <w:rPr>
          <w:rFonts w:ascii="Calibri" w:hAnsi="Calibri"/>
          <w:sz w:val="20"/>
          <w:szCs w:val="20"/>
        </w:rPr>
      </w:pPr>
      <w:r w:rsidRPr="00FF773A">
        <w:rPr>
          <w:rFonts w:ascii="Calibri" w:hAnsi="Calibri"/>
          <w:noProof/>
          <w:sz w:val="20"/>
          <w:szCs w:val="20"/>
          <w:lang w:eastAsia="en-GB"/>
        </w:rPr>
        <w:drawing>
          <wp:inline distT="0" distB="0" distL="0" distR="0" wp14:anchorId="457E310E" wp14:editId="3F2D7248">
            <wp:extent cx="4572000" cy="3362400"/>
            <wp:effectExtent l="0" t="0" r="0"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F0C4B4" w14:textId="77777777" w:rsidR="00014894" w:rsidRPr="00FF773A" w:rsidRDefault="00014894" w:rsidP="00B707EB">
      <w:pPr>
        <w:rPr>
          <w:rFonts w:ascii="Calibri" w:hAnsi="Calibri"/>
          <w:sz w:val="20"/>
          <w:szCs w:val="20"/>
        </w:rPr>
      </w:pPr>
    </w:p>
    <w:p w14:paraId="59598F99" w14:textId="77777777" w:rsidR="00B707EB" w:rsidRPr="00FF773A" w:rsidRDefault="00B707EB" w:rsidP="00B707EB">
      <w:pPr>
        <w:rPr>
          <w:rFonts w:ascii="Calibri" w:hAnsi="Calibri"/>
          <w:sz w:val="20"/>
          <w:szCs w:val="20"/>
        </w:rPr>
      </w:pPr>
    </w:p>
    <w:p w14:paraId="603E32CC" w14:textId="402B1644" w:rsidR="00AC4DE9" w:rsidRDefault="005E6610" w:rsidP="00AC4DE9">
      <w:pPr>
        <w:pStyle w:val="Heading3"/>
        <w:rPr>
          <w:rFonts w:ascii="Calibri" w:hAnsi="Calibri" w:cs="Calibri"/>
          <w:sz w:val="20"/>
          <w:szCs w:val="20"/>
        </w:rPr>
      </w:pPr>
      <w:bookmarkStart w:id="55" w:name="_Toc22033332"/>
      <w:r w:rsidRPr="00FF773A">
        <w:rPr>
          <w:rFonts w:ascii="Calibri" w:hAnsi="Calibri" w:cs="Calibri"/>
          <w:sz w:val="20"/>
          <w:szCs w:val="20"/>
        </w:rPr>
        <w:t xml:space="preserve">2.1 </w:t>
      </w:r>
      <w:r w:rsidR="00AC4DE9" w:rsidRPr="00FF773A">
        <w:rPr>
          <w:rFonts w:ascii="Calibri" w:hAnsi="Calibri" w:cs="Calibri"/>
          <w:sz w:val="20"/>
          <w:szCs w:val="20"/>
        </w:rPr>
        <w:t>A note on A-Level numbers</w:t>
      </w:r>
      <w:bookmarkEnd w:id="55"/>
    </w:p>
    <w:p w14:paraId="65BBFDEA" w14:textId="2FB95A19" w:rsidR="005E6610" w:rsidRPr="00FF773A" w:rsidRDefault="00AC4DE9" w:rsidP="00AC4DE9">
      <w:pPr>
        <w:rPr>
          <w:rFonts w:ascii="Calibri" w:hAnsi="Calibri"/>
          <w:sz w:val="20"/>
          <w:szCs w:val="20"/>
        </w:rPr>
      </w:pPr>
      <w:r w:rsidRPr="00FF773A">
        <w:rPr>
          <w:rFonts w:ascii="Calibri" w:hAnsi="Calibri"/>
          <w:sz w:val="20"/>
          <w:szCs w:val="20"/>
        </w:rPr>
        <w:t>The number of A-Level</w:t>
      </w:r>
      <w:r w:rsidR="001534DD" w:rsidRPr="00FF773A">
        <w:rPr>
          <w:rFonts w:ascii="Calibri" w:hAnsi="Calibri"/>
          <w:sz w:val="20"/>
          <w:szCs w:val="20"/>
        </w:rPr>
        <w:t xml:space="preserve"> students shown in this report is slightly different to that</w:t>
      </w:r>
      <w:r w:rsidRPr="00FF773A">
        <w:rPr>
          <w:rFonts w:ascii="Calibri" w:hAnsi="Calibri"/>
          <w:sz w:val="20"/>
          <w:szCs w:val="20"/>
        </w:rPr>
        <w:t xml:space="preserve"> shown in our companion report on entries and attainment at A-Level geography. This is because our earlier report </w:t>
      </w:r>
      <w:r w:rsidR="005E6610" w:rsidRPr="00FF773A">
        <w:rPr>
          <w:rFonts w:ascii="Calibri" w:hAnsi="Calibri"/>
          <w:sz w:val="20"/>
          <w:szCs w:val="20"/>
        </w:rPr>
        <w:t>included only t</w:t>
      </w:r>
      <w:r w:rsidRPr="00FF773A">
        <w:rPr>
          <w:rFonts w:ascii="Calibri" w:hAnsi="Calibri"/>
          <w:sz w:val="20"/>
          <w:szCs w:val="20"/>
        </w:rPr>
        <w:t xml:space="preserve">hose students who took A-Levels at the end of Key Stage 5. </w:t>
      </w:r>
      <w:r w:rsidR="005E6610" w:rsidRPr="00FF773A">
        <w:rPr>
          <w:rFonts w:ascii="Calibri" w:hAnsi="Calibri"/>
          <w:sz w:val="20"/>
          <w:szCs w:val="20"/>
        </w:rPr>
        <w:t xml:space="preserve">This is the standard method for measuring trends in entry numbers, and allows us to link the trends in entry numbers to trends in the overall student population for each year. </w:t>
      </w:r>
    </w:p>
    <w:p w14:paraId="3963053B" w14:textId="77777777" w:rsidR="005E6610" w:rsidRPr="00FF773A" w:rsidRDefault="005E6610" w:rsidP="00AC4DE9">
      <w:pPr>
        <w:rPr>
          <w:rFonts w:ascii="Calibri" w:hAnsi="Calibri"/>
          <w:sz w:val="20"/>
          <w:szCs w:val="20"/>
        </w:rPr>
      </w:pPr>
    </w:p>
    <w:p w14:paraId="518C40E3" w14:textId="72193AA6" w:rsidR="00AC4DE9" w:rsidRPr="00FF773A" w:rsidRDefault="005E6610" w:rsidP="00AC4DE9">
      <w:pPr>
        <w:rPr>
          <w:rFonts w:ascii="Calibri" w:hAnsi="Calibri"/>
          <w:sz w:val="20"/>
          <w:szCs w:val="20"/>
        </w:rPr>
      </w:pPr>
      <w:r w:rsidRPr="00FF773A">
        <w:rPr>
          <w:rFonts w:ascii="Calibri" w:hAnsi="Calibri"/>
          <w:sz w:val="20"/>
          <w:szCs w:val="20"/>
        </w:rPr>
        <w:t xml:space="preserve">In this report, as we are not interested in linking A-Level numbers to the overall Key Stage </w:t>
      </w:r>
      <w:r w:rsidR="001534DD" w:rsidRPr="00FF773A">
        <w:rPr>
          <w:rFonts w:ascii="Calibri" w:hAnsi="Calibri"/>
          <w:sz w:val="20"/>
          <w:szCs w:val="20"/>
        </w:rPr>
        <w:t xml:space="preserve">5 </w:t>
      </w:r>
      <w:r w:rsidRPr="00FF773A">
        <w:rPr>
          <w:rFonts w:ascii="Calibri" w:hAnsi="Calibri"/>
          <w:sz w:val="20"/>
          <w:szCs w:val="20"/>
        </w:rPr>
        <w:t xml:space="preserve">population, we </w:t>
      </w:r>
      <w:r w:rsidR="00AF3811" w:rsidRPr="00FF773A">
        <w:rPr>
          <w:rFonts w:ascii="Calibri" w:hAnsi="Calibri"/>
          <w:sz w:val="20"/>
          <w:szCs w:val="20"/>
        </w:rPr>
        <w:t>were able to use</w:t>
      </w:r>
      <w:r w:rsidRPr="00FF773A">
        <w:rPr>
          <w:rFonts w:ascii="Calibri" w:hAnsi="Calibri"/>
          <w:sz w:val="20"/>
          <w:szCs w:val="20"/>
        </w:rPr>
        <w:t xml:space="preserve"> a slightly </w:t>
      </w:r>
      <w:r w:rsidR="00AF3811" w:rsidRPr="00FF773A">
        <w:rPr>
          <w:rFonts w:ascii="Calibri" w:hAnsi="Calibri"/>
          <w:sz w:val="20"/>
          <w:szCs w:val="20"/>
        </w:rPr>
        <w:t>broader</w:t>
      </w:r>
      <w:r w:rsidRPr="00FF773A">
        <w:rPr>
          <w:rFonts w:ascii="Calibri" w:hAnsi="Calibri"/>
          <w:sz w:val="20"/>
          <w:szCs w:val="20"/>
        </w:rPr>
        <w:t xml:space="preserve"> method</w:t>
      </w:r>
      <w:r w:rsidR="003D3813" w:rsidRPr="00FF773A">
        <w:rPr>
          <w:rFonts w:ascii="Calibri" w:hAnsi="Calibri"/>
          <w:sz w:val="20"/>
          <w:szCs w:val="20"/>
        </w:rPr>
        <w:t>, which is more appropriate when looking at progression to degree</w:t>
      </w:r>
      <w:r w:rsidRPr="00FF773A">
        <w:rPr>
          <w:rFonts w:ascii="Calibri" w:hAnsi="Calibri"/>
          <w:sz w:val="20"/>
          <w:szCs w:val="20"/>
        </w:rPr>
        <w:t>; we included all students who took an A-Level in geography in any given year. This means that the entry numbers used in this report are slightly higher than those in the earlier report, as they also include resits and early entries.</w:t>
      </w:r>
    </w:p>
    <w:p w14:paraId="66393540" w14:textId="3E42A531" w:rsidR="00AC4DE9" w:rsidRPr="00FF773A" w:rsidRDefault="00AC4DE9" w:rsidP="00AC4DE9">
      <w:pPr>
        <w:rPr>
          <w:rFonts w:ascii="Calibri" w:hAnsi="Calibri"/>
          <w:sz w:val="20"/>
          <w:szCs w:val="20"/>
        </w:rPr>
      </w:pPr>
    </w:p>
    <w:p w14:paraId="271DD5BC" w14:textId="6F0AAFF4" w:rsidR="003D3813" w:rsidRPr="00FF773A" w:rsidRDefault="003D3813" w:rsidP="003D3813">
      <w:pPr>
        <w:pStyle w:val="Heading3"/>
        <w:rPr>
          <w:rFonts w:ascii="Calibri" w:hAnsi="Calibri" w:cs="Calibri"/>
          <w:sz w:val="20"/>
          <w:szCs w:val="20"/>
        </w:rPr>
      </w:pPr>
      <w:bookmarkStart w:id="56" w:name="_Toc22033333"/>
      <w:r w:rsidRPr="00FF773A">
        <w:rPr>
          <w:rFonts w:ascii="Calibri" w:hAnsi="Calibri" w:cs="Calibri"/>
          <w:sz w:val="20"/>
          <w:szCs w:val="20"/>
        </w:rPr>
        <w:t>2.2 Data suppression</w:t>
      </w:r>
      <w:bookmarkEnd w:id="56"/>
    </w:p>
    <w:p w14:paraId="74A08EF6" w14:textId="0D81DDA1" w:rsidR="003D3813" w:rsidRPr="00FF773A" w:rsidRDefault="003D3813" w:rsidP="00AC4DE9">
      <w:pPr>
        <w:rPr>
          <w:rFonts w:ascii="Calibri" w:hAnsi="Calibri"/>
          <w:sz w:val="20"/>
          <w:szCs w:val="20"/>
        </w:rPr>
      </w:pPr>
      <w:r w:rsidRPr="00FF773A">
        <w:rPr>
          <w:rFonts w:ascii="Calibri" w:hAnsi="Calibri"/>
          <w:sz w:val="20"/>
          <w:szCs w:val="20"/>
        </w:rPr>
        <w:t xml:space="preserve">There are some restrictions placed on the publication of data and statistics from the National Pupil Database. In particular, data based on ten or fewer individuals is ‘suppressed’: the exact number, and any </w:t>
      </w:r>
      <w:r w:rsidR="00B976DF" w:rsidRPr="00FF773A">
        <w:rPr>
          <w:rFonts w:ascii="Calibri" w:hAnsi="Calibri"/>
          <w:sz w:val="20"/>
          <w:szCs w:val="20"/>
        </w:rPr>
        <w:t>statistics</w:t>
      </w:r>
      <w:r w:rsidRPr="00FF773A">
        <w:rPr>
          <w:rFonts w:ascii="Calibri" w:hAnsi="Calibri"/>
          <w:sz w:val="20"/>
          <w:szCs w:val="20"/>
        </w:rPr>
        <w:t xml:space="preserve"> based on that number, cannot be published.</w:t>
      </w:r>
      <w:r w:rsidR="00691617" w:rsidRPr="00FF773A">
        <w:rPr>
          <w:rFonts w:ascii="Calibri" w:hAnsi="Calibri"/>
          <w:sz w:val="20"/>
          <w:szCs w:val="20"/>
        </w:rPr>
        <w:t xml:space="preserve"> This is to avoid possible disclosure of information on individuals.</w:t>
      </w:r>
      <w:r w:rsidRPr="00FF773A">
        <w:rPr>
          <w:rFonts w:ascii="Calibri" w:hAnsi="Calibri"/>
          <w:sz w:val="20"/>
          <w:szCs w:val="20"/>
        </w:rPr>
        <w:t xml:space="preserve"> </w:t>
      </w:r>
    </w:p>
    <w:p w14:paraId="6B38C1CF" w14:textId="77777777" w:rsidR="003D3813" w:rsidRPr="00FF773A" w:rsidRDefault="003D3813" w:rsidP="00AC4DE9">
      <w:pPr>
        <w:rPr>
          <w:rFonts w:ascii="Calibri" w:hAnsi="Calibri"/>
          <w:sz w:val="20"/>
          <w:szCs w:val="20"/>
        </w:rPr>
      </w:pPr>
    </w:p>
    <w:p w14:paraId="1DC80C50" w14:textId="1623175A" w:rsidR="003D3813" w:rsidRPr="00FF773A" w:rsidRDefault="003D3813" w:rsidP="00AC4DE9">
      <w:pPr>
        <w:rPr>
          <w:rFonts w:ascii="Calibri" w:hAnsi="Calibri"/>
          <w:sz w:val="20"/>
          <w:szCs w:val="20"/>
        </w:rPr>
      </w:pPr>
      <w:r w:rsidRPr="00FF773A">
        <w:rPr>
          <w:rFonts w:ascii="Calibri" w:hAnsi="Calibri"/>
          <w:sz w:val="20"/>
          <w:szCs w:val="20"/>
        </w:rPr>
        <w:t xml:space="preserve">In this report and the accompanying Excel document, any numbers of ten or fewer </w:t>
      </w:r>
      <w:r w:rsidR="00691617" w:rsidRPr="00FF773A">
        <w:rPr>
          <w:rFonts w:ascii="Calibri" w:hAnsi="Calibri"/>
          <w:sz w:val="20"/>
          <w:szCs w:val="20"/>
        </w:rPr>
        <w:t>have been replaced with a range</w:t>
      </w:r>
      <w:r w:rsidRPr="00FF773A">
        <w:rPr>
          <w:rFonts w:ascii="Calibri" w:hAnsi="Calibri"/>
          <w:sz w:val="20"/>
          <w:szCs w:val="20"/>
        </w:rPr>
        <w:t xml:space="preserve">. In most cases, this was not sufficient, as the number could still have been calculated from data provided. To avoid this issue, we have also replaced one or more other values in the data with a range. </w:t>
      </w:r>
      <w:r w:rsidR="00AB7F69" w:rsidRPr="00FF773A">
        <w:rPr>
          <w:rFonts w:ascii="Calibri" w:hAnsi="Calibri"/>
          <w:sz w:val="20"/>
          <w:szCs w:val="20"/>
        </w:rPr>
        <w:t>T</w:t>
      </w:r>
      <w:r w:rsidRPr="00FF773A">
        <w:rPr>
          <w:rFonts w:ascii="Calibri" w:hAnsi="Calibri"/>
          <w:sz w:val="20"/>
          <w:szCs w:val="20"/>
        </w:rPr>
        <w:t>his is clearly noted in the Excel document whenever it has occurred. Suppression has been applied to data in the ethnicity section and in the section on other subjects at degree level.</w:t>
      </w:r>
    </w:p>
    <w:p w14:paraId="358CC666" w14:textId="77777777" w:rsidR="003D3813" w:rsidRPr="00FF773A" w:rsidRDefault="003D3813" w:rsidP="00AC4DE9">
      <w:pPr>
        <w:rPr>
          <w:rFonts w:ascii="Calibri" w:hAnsi="Calibri"/>
          <w:sz w:val="20"/>
          <w:szCs w:val="20"/>
        </w:rPr>
      </w:pPr>
    </w:p>
    <w:p w14:paraId="507F3ED7" w14:textId="06912097" w:rsidR="00F06FE1" w:rsidRPr="00FF773A" w:rsidRDefault="00B646E2" w:rsidP="001534DD">
      <w:pPr>
        <w:pStyle w:val="Heading2"/>
        <w:numPr>
          <w:ilvl w:val="0"/>
          <w:numId w:val="27"/>
        </w:numPr>
        <w:contextualSpacing/>
        <w:rPr>
          <w:rFonts w:ascii="Calibri" w:hAnsi="Calibri" w:cs="Calibri"/>
          <w:sz w:val="20"/>
          <w:szCs w:val="20"/>
        </w:rPr>
      </w:pPr>
      <w:bookmarkStart w:id="57" w:name="_Toc22033334"/>
      <w:r w:rsidRPr="00FF773A">
        <w:rPr>
          <w:rFonts w:ascii="Calibri" w:hAnsi="Calibri" w:cs="Calibri"/>
          <w:sz w:val="20"/>
          <w:szCs w:val="20"/>
        </w:rPr>
        <w:lastRenderedPageBreak/>
        <w:t>Progression to geography at degree level</w:t>
      </w:r>
      <w:bookmarkEnd w:id="57"/>
    </w:p>
    <w:p w14:paraId="739EA442" w14:textId="77777777" w:rsidR="00B646E2" w:rsidRPr="00FF773A" w:rsidRDefault="00B646E2" w:rsidP="00B646E2">
      <w:pPr>
        <w:pStyle w:val="ListParagraph"/>
        <w:ind w:left="360"/>
        <w:rPr>
          <w:rFonts w:ascii="Calibri" w:hAnsi="Calibri" w:cs="Calibri"/>
          <w:sz w:val="20"/>
          <w:szCs w:val="20"/>
        </w:rPr>
      </w:pPr>
    </w:p>
    <w:p w14:paraId="31304477" w14:textId="1C76B18E" w:rsidR="003B78CE" w:rsidRPr="00FF773A" w:rsidRDefault="003F0436" w:rsidP="003B78CE">
      <w:pPr>
        <w:pStyle w:val="Heading3"/>
        <w:contextualSpacing/>
        <w:rPr>
          <w:rFonts w:ascii="Calibri" w:eastAsia="Times New Roman" w:hAnsi="Calibri" w:cs="Calibri"/>
          <w:sz w:val="20"/>
          <w:szCs w:val="20"/>
        </w:rPr>
      </w:pPr>
      <w:bookmarkStart w:id="58" w:name="_Toc22033335"/>
      <w:r w:rsidRPr="00FF773A">
        <w:rPr>
          <w:rFonts w:ascii="Calibri" w:eastAsia="Times New Roman" w:hAnsi="Calibri" w:cs="Calibri"/>
          <w:sz w:val="20"/>
          <w:szCs w:val="20"/>
        </w:rPr>
        <w:t>3.</w:t>
      </w:r>
      <w:r w:rsidR="003B78CE" w:rsidRPr="00FF773A">
        <w:rPr>
          <w:rFonts w:ascii="Calibri" w:eastAsia="Times New Roman" w:hAnsi="Calibri" w:cs="Calibri"/>
          <w:sz w:val="20"/>
          <w:szCs w:val="20"/>
        </w:rPr>
        <w:t>1 Gender</w:t>
      </w:r>
      <w:bookmarkEnd w:id="58"/>
    </w:p>
    <w:p w14:paraId="29A89B11" w14:textId="7B0A51FE" w:rsidR="00CC770C" w:rsidRPr="00FF773A" w:rsidRDefault="00CC770C" w:rsidP="00CC770C">
      <w:pPr>
        <w:rPr>
          <w:rFonts w:ascii="Calibri" w:hAnsi="Calibri"/>
          <w:sz w:val="20"/>
          <w:szCs w:val="20"/>
        </w:rPr>
      </w:pPr>
      <w:r w:rsidRPr="00FF773A">
        <w:rPr>
          <w:rFonts w:ascii="Calibri" w:hAnsi="Calibri"/>
          <w:sz w:val="20"/>
          <w:szCs w:val="20"/>
        </w:rPr>
        <w:t>A higher proportion of female students than male students went on to study geography at degree level. This was true of every year considered in this report. Of those students wh</w:t>
      </w:r>
      <w:r w:rsidR="00B165AD" w:rsidRPr="00FF773A">
        <w:rPr>
          <w:rFonts w:ascii="Calibri" w:hAnsi="Calibri"/>
          <w:sz w:val="20"/>
          <w:szCs w:val="20"/>
        </w:rPr>
        <w:t>o took geography A-Level in 2015</w:t>
      </w:r>
      <w:r w:rsidRPr="00FF773A">
        <w:rPr>
          <w:rFonts w:ascii="Calibri" w:hAnsi="Calibri"/>
          <w:sz w:val="20"/>
          <w:szCs w:val="20"/>
        </w:rPr>
        <w:t xml:space="preserve">, </w:t>
      </w:r>
      <w:r w:rsidR="00B165AD" w:rsidRPr="00FF773A">
        <w:rPr>
          <w:rFonts w:ascii="Calibri" w:hAnsi="Calibri"/>
          <w:sz w:val="20"/>
          <w:szCs w:val="20"/>
        </w:rPr>
        <w:t>for example, 21% of female students had begun</w:t>
      </w:r>
      <w:r w:rsidRPr="00FF773A">
        <w:rPr>
          <w:rFonts w:ascii="Calibri" w:hAnsi="Calibri"/>
          <w:sz w:val="20"/>
          <w:szCs w:val="20"/>
        </w:rPr>
        <w:t xml:space="preserve"> a </w:t>
      </w:r>
      <w:r w:rsidR="005D0B21" w:rsidRPr="00FF773A">
        <w:rPr>
          <w:rFonts w:ascii="Calibri" w:hAnsi="Calibri"/>
          <w:sz w:val="20"/>
          <w:szCs w:val="20"/>
        </w:rPr>
        <w:t>geography</w:t>
      </w:r>
      <w:r w:rsidR="00B165AD" w:rsidRPr="00FF773A">
        <w:rPr>
          <w:rFonts w:ascii="Calibri" w:hAnsi="Calibri"/>
          <w:sz w:val="20"/>
          <w:szCs w:val="20"/>
        </w:rPr>
        <w:t xml:space="preserve"> degree by 2018</w:t>
      </w:r>
      <w:r w:rsidRPr="00FF773A">
        <w:rPr>
          <w:rFonts w:ascii="Calibri" w:hAnsi="Calibri"/>
          <w:sz w:val="20"/>
          <w:szCs w:val="20"/>
        </w:rPr>
        <w:t>, com</w:t>
      </w:r>
      <w:r w:rsidR="00B165AD" w:rsidRPr="00FF773A">
        <w:rPr>
          <w:rFonts w:ascii="Calibri" w:hAnsi="Calibri"/>
          <w:sz w:val="20"/>
          <w:szCs w:val="20"/>
        </w:rPr>
        <w:t>pared to 17</w:t>
      </w:r>
      <w:r w:rsidRPr="00FF773A">
        <w:rPr>
          <w:rFonts w:ascii="Calibri" w:hAnsi="Calibri"/>
          <w:sz w:val="20"/>
          <w:szCs w:val="20"/>
        </w:rPr>
        <w:t>% of male students. Between 2005 and 2007 the progression rate for male students fell and the gender gap in progression rate increased. Since then, the gender gap has remained fairly consistent.</w:t>
      </w:r>
    </w:p>
    <w:p w14:paraId="44519BB0" w14:textId="77777777" w:rsidR="00CC770C" w:rsidRPr="00FF773A" w:rsidRDefault="00CC770C" w:rsidP="00CC770C">
      <w:pPr>
        <w:rPr>
          <w:rFonts w:ascii="Calibri" w:hAnsi="Calibri"/>
          <w:sz w:val="20"/>
          <w:szCs w:val="20"/>
        </w:rPr>
      </w:pPr>
    </w:p>
    <w:p w14:paraId="34E635C4" w14:textId="297F41ED" w:rsidR="00B707EB" w:rsidRPr="00FF773A" w:rsidRDefault="00CC770C" w:rsidP="00CC770C">
      <w:pPr>
        <w:rPr>
          <w:rFonts w:ascii="Calibri" w:hAnsi="Calibri"/>
          <w:sz w:val="20"/>
          <w:szCs w:val="20"/>
        </w:rPr>
      </w:pPr>
      <w:r w:rsidRPr="00FF773A">
        <w:rPr>
          <w:rFonts w:ascii="Calibri" w:hAnsi="Calibri"/>
          <w:sz w:val="20"/>
          <w:szCs w:val="20"/>
        </w:rPr>
        <w:t xml:space="preserve">This picture looks rather different if we consider F8 students and L7 students separately. Female students of A-Level geography were </w:t>
      </w:r>
      <w:r w:rsidR="005D0B21" w:rsidRPr="00FF773A">
        <w:rPr>
          <w:rFonts w:ascii="Calibri" w:hAnsi="Calibri"/>
          <w:sz w:val="20"/>
          <w:szCs w:val="20"/>
        </w:rPr>
        <w:t>consistently</w:t>
      </w:r>
      <w:r w:rsidRPr="00FF773A">
        <w:rPr>
          <w:rFonts w:ascii="Calibri" w:hAnsi="Calibri"/>
          <w:sz w:val="20"/>
          <w:szCs w:val="20"/>
        </w:rPr>
        <w:t xml:space="preserve"> more likely to progress to an L7 degree, with a gender gap of between 2-4 percentage points in every year we looked at. However, for F8 degrees, the gender gap </w:t>
      </w:r>
      <w:r w:rsidR="008E084B" w:rsidRPr="00FF773A">
        <w:rPr>
          <w:rFonts w:ascii="Calibri" w:hAnsi="Calibri"/>
          <w:sz w:val="20"/>
          <w:szCs w:val="20"/>
        </w:rPr>
        <w:t xml:space="preserve">is generally much smaller and inconsistent in </w:t>
      </w:r>
      <w:r w:rsidR="005D0B21" w:rsidRPr="00FF773A">
        <w:rPr>
          <w:rFonts w:ascii="Calibri" w:hAnsi="Calibri"/>
          <w:sz w:val="20"/>
          <w:szCs w:val="20"/>
        </w:rPr>
        <w:t>direction;</w:t>
      </w:r>
      <w:r w:rsidR="008E084B" w:rsidRPr="00FF773A">
        <w:rPr>
          <w:rFonts w:ascii="Calibri" w:hAnsi="Calibri"/>
          <w:sz w:val="20"/>
          <w:szCs w:val="20"/>
        </w:rPr>
        <w:t xml:space="preserve"> in some years, more male students progressed to this type of degree, and in other years, more female students. However, </w:t>
      </w:r>
      <w:r w:rsidRPr="00FF773A">
        <w:rPr>
          <w:rFonts w:ascii="Calibri" w:hAnsi="Calibri"/>
          <w:sz w:val="20"/>
          <w:szCs w:val="20"/>
        </w:rPr>
        <w:t>in every year since 2013, a higher proportion of female students have progressed</w:t>
      </w:r>
      <w:r w:rsidR="008E084B" w:rsidRPr="00FF773A">
        <w:rPr>
          <w:rFonts w:ascii="Calibri" w:hAnsi="Calibri"/>
          <w:sz w:val="20"/>
          <w:szCs w:val="20"/>
        </w:rPr>
        <w:t xml:space="preserve"> than male</w:t>
      </w:r>
      <w:r w:rsidRPr="00FF773A">
        <w:rPr>
          <w:rFonts w:ascii="Calibri" w:hAnsi="Calibri"/>
          <w:sz w:val="20"/>
          <w:szCs w:val="20"/>
        </w:rPr>
        <w:t>.</w:t>
      </w:r>
    </w:p>
    <w:p w14:paraId="348AA41D" w14:textId="77777777" w:rsidR="00CC770C" w:rsidRPr="00FF773A" w:rsidRDefault="00CC770C" w:rsidP="00CC770C">
      <w:pPr>
        <w:rPr>
          <w:rFonts w:ascii="Calibri" w:hAnsi="Calibri"/>
          <w:sz w:val="20"/>
          <w:szCs w:val="20"/>
        </w:rPr>
      </w:pPr>
    </w:p>
    <w:p w14:paraId="37876388" w14:textId="09F6503E" w:rsidR="003B78CE" w:rsidRPr="00FF773A" w:rsidRDefault="003F0436" w:rsidP="003B78CE">
      <w:pPr>
        <w:pStyle w:val="Heading3"/>
        <w:contextualSpacing/>
        <w:rPr>
          <w:rFonts w:ascii="Calibri" w:eastAsia="Times New Roman" w:hAnsi="Calibri" w:cs="Calibri"/>
          <w:sz w:val="20"/>
          <w:szCs w:val="20"/>
        </w:rPr>
      </w:pPr>
      <w:bookmarkStart w:id="59" w:name="_Toc22033336"/>
      <w:r w:rsidRPr="00FF773A">
        <w:rPr>
          <w:rFonts w:ascii="Calibri" w:eastAsia="Times New Roman" w:hAnsi="Calibri" w:cs="Calibri"/>
          <w:sz w:val="20"/>
          <w:szCs w:val="20"/>
        </w:rPr>
        <w:t>3.</w:t>
      </w:r>
      <w:r w:rsidR="003B78CE" w:rsidRPr="00FF773A">
        <w:rPr>
          <w:rFonts w:ascii="Calibri" w:eastAsia="Times New Roman" w:hAnsi="Calibri" w:cs="Calibri"/>
          <w:sz w:val="20"/>
          <w:szCs w:val="20"/>
        </w:rPr>
        <w:t>2 Ethnicity</w:t>
      </w:r>
      <w:bookmarkEnd w:id="59"/>
    </w:p>
    <w:p w14:paraId="6A5AC8DD" w14:textId="77777777" w:rsidR="00D13C4E" w:rsidRPr="00FF773A" w:rsidRDefault="004A7A4E" w:rsidP="00EB61C0">
      <w:pPr>
        <w:rPr>
          <w:rFonts w:ascii="Calibri" w:hAnsi="Calibri"/>
          <w:sz w:val="20"/>
          <w:szCs w:val="20"/>
        </w:rPr>
      </w:pPr>
      <w:r w:rsidRPr="00FF773A">
        <w:rPr>
          <w:rFonts w:ascii="Calibri" w:hAnsi="Calibri"/>
          <w:sz w:val="20"/>
          <w:szCs w:val="20"/>
        </w:rPr>
        <w:t>White and mixed students had consistently higher rates of progression than black and Asian students. Of those who took A-Levels in 201</w:t>
      </w:r>
      <w:r w:rsidR="00B9699E" w:rsidRPr="00FF773A">
        <w:rPr>
          <w:rFonts w:ascii="Calibri" w:hAnsi="Calibri"/>
          <w:sz w:val="20"/>
          <w:szCs w:val="20"/>
        </w:rPr>
        <w:t>5, 19</w:t>
      </w:r>
      <w:r w:rsidRPr="00FF773A">
        <w:rPr>
          <w:rFonts w:ascii="Calibri" w:hAnsi="Calibri"/>
          <w:sz w:val="20"/>
          <w:szCs w:val="20"/>
        </w:rPr>
        <w:t xml:space="preserve">% of white and </w:t>
      </w:r>
      <w:r w:rsidR="00B9699E" w:rsidRPr="00FF773A">
        <w:rPr>
          <w:rFonts w:ascii="Calibri" w:hAnsi="Calibri"/>
          <w:sz w:val="20"/>
          <w:szCs w:val="20"/>
        </w:rPr>
        <w:t>17</w:t>
      </w:r>
      <w:r w:rsidRPr="00FF773A">
        <w:rPr>
          <w:rFonts w:ascii="Calibri" w:hAnsi="Calibri"/>
          <w:sz w:val="20"/>
          <w:szCs w:val="20"/>
        </w:rPr>
        <w:t>% of mixed students progressed to geography at un</w:t>
      </w:r>
      <w:r w:rsidR="00B9699E" w:rsidRPr="00FF773A">
        <w:rPr>
          <w:rFonts w:ascii="Calibri" w:hAnsi="Calibri"/>
          <w:sz w:val="20"/>
          <w:szCs w:val="20"/>
        </w:rPr>
        <w:t>iversity by 2018, compared to 14% of black and 15</w:t>
      </w:r>
      <w:r w:rsidRPr="00FF773A">
        <w:rPr>
          <w:rFonts w:ascii="Calibri" w:hAnsi="Calibri"/>
          <w:sz w:val="20"/>
          <w:szCs w:val="20"/>
        </w:rPr>
        <w:t xml:space="preserve">% of Asian students. </w:t>
      </w:r>
    </w:p>
    <w:p w14:paraId="7CC9C716" w14:textId="77777777" w:rsidR="00D13C4E" w:rsidRPr="00FF773A" w:rsidRDefault="00D13C4E" w:rsidP="00EB61C0">
      <w:pPr>
        <w:rPr>
          <w:rFonts w:ascii="Calibri" w:hAnsi="Calibri"/>
          <w:sz w:val="20"/>
          <w:szCs w:val="20"/>
        </w:rPr>
      </w:pPr>
    </w:p>
    <w:p w14:paraId="6F3A72D7" w14:textId="75B35B7D" w:rsidR="000418B2" w:rsidRPr="00FF773A" w:rsidRDefault="004A7A4E" w:rsidP="00EB61C0">
      <w:pPr>
        <w:rPr>
          <w:rFonts w:ascii="Calibri" w:hAnsi="Calibri"/>
          <w:sz w:val="20"/>
          <w:szCs w:val="20"/>
        </w:rPr>
      </w:pPr>
      <w:r w:rsidRPr="00FF773A">
        <w:rPr>
          <w:rFonts w:ascii="Calibri" w:hAnsi="Calibri"/>
          <w:sz w:val="20"/>
          <w:szCs w:val="20"/>
        </w:rPr>
        <w:t xml:space="preserve">Progression rates for students in the </w:t>
      </w:r>
      <w:r w:rsidR="00D71665" w:rsidRPr="00FF773A">
        <w:rPr>
          <w:rFonts w:ascii="Calibri" w:hAnsi="Calibri"/>
          <w:sz w:val="20"/>
          <w:szCs w:val="20"/>
        </w:rPr>
        <w:t>‘</w:t>
      </w:r>
      <w:r w:rsidRPr="00FF773A">
        <w:rPr>
          <w:rFonts w:ascii="Calibri" w:hAnsi="Calibri"/>
          <w:sz w:val="20"/>
          <w:szCs w:val="20"/>
        </w:rPr>
        <w:t>other</w:t>
      </w:r>
      <w:r w:rsidR="00D71665" w:rsidRPr="00FF773A">
        <w:rPr>
          <w:rFonts w:ascii="Calibri" w:hAnsi="Calibri"/>
          <w:sz w:val="20"/>
          <w:szCs w:val="20"/>
        </w:rPr>
        <w:t>’</w:t>
      </w:r>
      <w:r w:rsidRPr="00FF773A">
        <w:rPr>
          <w:rFonts w:ascii="Calibri" w:hAnsi="Calibri"/>
          <w:sz w:val="20"/>
          <w:szCs w:val="20"/>
        </w:rPr>
        <w:t xml:space="preserve"> ethnic group varied considerably from year to year - this is because of the relatively low numbers of students in this group who</w:t>
      </w:r>
      <w:r w:rsidR="00B9699E" w:rsidRPr="00FF773A">
        <w:rPr>
          <w:rFonts w:ascii="Calibri" w:hAnsi="Calibri"/>
          <w:sz w:val="20"/>
          <w:szCs w:val="20"/>
        </w:rPr>
        <w:t xml:space="preserve"> took A-Level </w:t>
      </w:r>
      <w:r w:rsidR="005D0B21" w:rsidRPr="00FF773A">
        <w:rPr>
          <w:rFonts w:ascii="Calibri" w:hAnsi="Calibri"/>
          <w:sz w:val="20"/>
          <w:szCs w:val="20"/>
        </w:rPr>
        <w:t>geography</w:t>
      </w:r>
      <w:r w:rsidR="00B9699E" w:rsidRPr="00FF773A">
        <w:rPr>
          <w:rFonts w:ascii="Calibri" w:hAnsi="Calibri"/>
          <w:sz w:val="20"/>
          <w:szCs w:val="20"/>
        </w:rPr>
        <w:t>, only 261</w:t>
      </w:r>
      <w:r w:rsidRPr="00FF773A">
        <w:rPr>
          <w:rFonts w:ascii="Calibri" w:hAnsi="Calibri"/>
          <w:sz w:val="20"/>
          <w:szCs w:val="20"/>
        </w:rPr>
        <w:t xml:space="preserve"> in 2017</w:t>
      </w:r>
      <w:r w:rsidR="00D71665" w:rsidRPr="00FF773A">
        <w:rPr>
          <w:rFonts w:ascii="Calibri" w:hAnsi="Calibri"/>
          <w:sz w:val="20"/>
          <w:szCs w:val="20"/>
        </w:rPr>
        <w:t>, for example</w:t>
      </w:r>
      <w:r w:rsidRPr="00FF773A">
        <w:rPr>
          <w:rFonts w:ascii="Calibri" w:hAnsi="Calibri"/>
          <w:sz w:val="20"/>
          <w:szCs w:val="20"/>
        </w:rPr>
        <w:t>. With smaller numbers, a difference of only a few students progressing can make a relatively big difference to the proportion.</w:t>
      </w:r>
    </w:p>
    <w:p w14:paraId="50D004E0" w14:textId="3523856A" w:rsidR="00B9699E" w:rsidRPr="00FF773A" w:rsidRDefault="00B9699E" w:rsidP="00EB61C0">
      <w:pPr>
        <w:rPr>
          <w:rFonts w:ascii="Calibri" w:hAnsi="Calibri"/>
          <w:sz w:val="20"/>
          <w:szCs w:val="20"/>
        </w:rPr>
      </w:pPr>
    </w:p>
    <w:p w14:paraId="2EC20914" w14:textId="7EE6D093" w:rsidR="00B9699E" w:rsidRPr="00FF773A" w:rsidRDefault="00B9699E" w:rsidP="00EB61C0">
      <w:pPr>
        <w:rPr>
          <w:rFonts w:ascii="Calibri" w:hAnsi="Calibri"/>
          <w:sz w:val="20"/>
          <w:szCs w:val="20"/>
        </w:rPr>
      </w:pPr>
      <w:r w:rsidRPr="00FF773A">
        <w:rPr>
          <w:rFonts w:ascii="Calibri" w:hAnsi="Calibri"/>
          <w:sz w:val="20"/>
          <w:szCs w:val="20"/>
        </w:rPr>
        <w:t xml:space="preserve">When broken down by degree type, </w:t>
      </w:r>
      <w:r w:rsidR="005D0B21" w:rsidRPr="00FF773A">
        <w:rPr>
          <w:rFonts w:ascii="Calibri" w:hAnsi="Calibri"/>
          <w:sz w:val="20"/>
          <w:szCs w:val="20"/>
        </w:rPr>
        <w:t>differences</w:t>
      </w:r>
      <w:r w:rsidRPr="00FF773A">
        <w:rPr>
          <w:rFonts w:ascii="Calibri" w:hAnsi="Calibri"/>
          <w:sz w:val="20"/>
          <w:szCs w:val="20"/>
        </w:rPr>
        <w:t xml:space="preserve"> by ethnic group are less clear </w:t>
      </w:r>
      <w:r w:rsidR="005D0B21" w:rsidRPr="00FF773A">
        <w:rPr>
          <w:rFonts w:ascii="Calibri" w:hAnsi="Calibri"/>
          <w:sz w:val="20"/>
          <w:szCs w:val="20"/>
        </w:rPr>
        <w:t>when</w:t>
      </w:r>
      <w:r w:rsidRPr="00FF773A">
        <w:rPr>
          <w:rFonts w:ascii="Calibri" w:hAnsi="Calibri"/>
          <w:sz w:val="20"/>
          <w:szCs w:val="20"/>
        </w:rPr>
        <w:t xml:space="preserve"> looking at progression to L7 degrees, but we see consistently higher progression for white and mixed students to F8 degrees.</w:t>
      </w:r>
    </w:p>
    <w:p w14:paraId="7C950E75" w14:textId="5DB650F2" w:rsidR="000418B2" w:rsidRPr="00FF773A" w:rsidRDefault="000418B2" w:rsidP="000418B2">
      <w:pPr>
        <w:pStyle w:val="Heading3"/>
        <w:contextualSpacing/>
        <w:rPr>
          <w:rFonts w:ascii="Calibri" w:eastAsia="Times New Roman" w:hAnsi="Calibri" w:cs="Calibri"/>
          <w:color w:val="auto"/>
          <w:sz w:val="20"/>
          <w:szCs w:val="20"/>
        </w:rPr>
      </w:pPr>
    </w:p>
    <w:p w14:paraId="3B40E657" w14:textId="0F4538AB" w:rsidR="00B9699E" w:rsidRPr="00FF773A" w:rsidRDefault="00B9699E" w:rsidP="00B9699E">
      <w:pPr>
        <w:pStyle w:val="Heading3"/>
        <w:contextualSpacing/>
        <w:rPr>
          <w:rFonts w:ascii="Calibri" w:eastAsia="Times New Roman" w:hAnsi="Calibri" w:cs="Calibri"/>
          <w:sz w:val="20"/>
          <w:szCs w:val="20"/>
        </w:rPr>
      </w:pPr>
      <w:bookmarkStart w:id="60" w:name="_Toc22033337"/>
      <w:r w:rsidRPr="00FF773A">
        <w:rPr>
          <w:rFonts w:ascii="Calibri" w:eastAsia="Times New Roman" w:hAnsi="Calibri" w:cs="Calibri"/>
          <w:sz w:val="20"/>
          <w:szCs w:val="20"/>
        </w:rPr>
        <w:t>3.3 Region</w:t>
      </w:r>
      <w:bookmarkEnd w:id="60"/>
    </w:p>
    <w:p w14:paraId="56E877A1" w14:textId="44B4D562" w:rsidR="00B9699E" w:rsidRPr="00FF773A" w:rsidRDefault="00B9699E" w:rsidP="00B9699E">
      <w:pPr>
        <w:rPr>
          <w:rFonts w:ascii="Calibri" w:hAnsi="Calibri"/>
          <w:sz w:val="20"/>
          <w:szCs w:val="20"/>
        </w:rPr>
      </w:pPr>
      <w:r w:rsidRPr="00FF773A">
        <w:rPr>
          <w:rFonts w:ascii="Calibri" w:hAnsi="Calibri"/>
          <w:sz w:val="20"/>
          <w:szCs w:val="20"/>
        </w:rPr>
        <w:t>There was some variation in progression to geography degree by region</w:t>
      </w:r>
      <w:r w:rsidR="00D13C4E" w:rsidRPr="00FF773A">
        <w:rPr>
          <w:rStyle w:val="FootnoteReference"/>
          <w:rFonts w:ascii="Calibri" w:hAnsi="Calibri"/>
          <w:sz w:val="20"/>
          <w:szCs w:val="20"/>
        </w:rPr>
        <w:footnoteReference w:id="3"/>
      </w:r>
      <w:r w:rsidRPr="00FF773A">
        <w:rPr>
          <w:rFonts w:ascii="Calibri" w:hAnsi="Calibri"/>
          <w:sz w:val="20"/>
          <w:szCs w:val="20"/>
        </w:rPr>
        <w:t xml:space="preserve">. In every year that we considered, a higher proportion progressed from London than any other region. </w:t>
      </w:r>
      <w:r w:rsidR="006759FE" w:rsidRPr="00FF773A">
        <w:rPr>
          <w:rFonts w:ascii="Calibri" w:hAnsi="Calibri"/>
          <w:sz w:val="20"/>
          <w:szCs w:val="20"/>
        </w:rPr>
        <w:t xml:space="preserve">In 2015, for example, 22% of </w:t>
      </w:r>
      <w:r w:rsidR="00CE4D3F" w:rsidRPr="00FF773A">
        <w:rPr>
          <w:rFonts w:ascii="Calibri" w:hAnsi="Calibri"/>
          <w:sz w:val="20"/>
          <w:szCs w:val="20"/>
        </w:rPr>
        <w:t xml:space="preserve">A-Level geography </w:t>
      </w:r>
      <w:r w:rsidR="006759FE" w:rsidRPr="00FF773A">
        <w:rPr>
          <w:rFonts w:ascii="Calibri" w:hAnsi="Calibri"/>
          <w:sz w:val="20"/>
          <w:szCs w:val="20"/>
        </w:rPr>
        <w:t xml:space="preserve">students </w:t>
      </w:r>
      <w:r w:rsidR="00D13C4E" w:rsidRPr="00FF773A">
        <w:rPr>
          <w:rFonts w:ascii="Calibri" w:hAnsi="Calibri"/>
          <w:sz w:val="20"/>
          <w:szCs w:val="20"/>
        </w:rPr>
        <w:t xml:space="preserve">from London </w:t>
      </w:r>
      <w:r w:rsidR="006759FE" w:rsidRPr="00FF773A">
        <w:rPr>
          <w:rFonts w:ascii="Calibri" w:hAnsi="Calibri"/>
          <w:sz w:val="20"/>
          <w:szCs w:val="20"/>
        </w:rPr>
        <w:t xml:space="preserve">had progressed to a geography degree by 2018, compared to 19% of students overall. </w:t>
      </w:r>
      <w:r w:rsidRPr="00FF773A">
        <w:rPr>
          <w:rFonts w:ascii="Calibri" w:hAnsi="Calibri"/>
          <w:sz w:val="20"/>
          <w:szCs w:val="20"/>
        </w:rPr>
        <w:t>The North West also tended to have a higher progression rate than other regions. Of the remaining regions, none had consistently higher or lower progression rates than others.</w:t>
      </w:r>
    </w:p>
    <w:p w14:paraId="2F42375A" w14:textId="77777777" w:rsidR="00B9699E" w:rsidRPr="00FF773A" w:rsidRDefault="00B9699E" w:rsidP="00B9699E">
      <w:pPr>
        <w:rPr>
          <w:rFonts w:ascii="Calibri" w:hAnsi="Calibri"/>
          <w:sz w:val="20"/>
          <w:szCs w:val="20"/>
        </w:rPr>
      </w:pPr>
    </w:p>
    <w:p w14:paraId="1A5245B3" w14:textId="1E949AF8" w:rsidR="00B9699E" w:rsidRPr="00FF773A" w:rsidRDefault="00B9699E" w:rsidP="00B9699E">
      <w:pPr>
        <w:rPr>
          <w:rFonts w:ascii="Calibri" w:hAnsi="Calibri"/>
          <w:sz w:val="20"/>
          <w:szCs w:val="20"/>
        </w:rPr>
      </w:pPr>
      <w:r w:rsidRPr="00FF773A">
        <w:rPr>
          <w:rFonts w:ascii="Calibri" w:hAnsi="Calibri"/>
          <w:sz w:val="20"/>
          <w:szCs w:val="20"/>
        </w:rPr>
        <w:t>However, when broken down by degree type a different pattern emerged. While London students were more likely to progress to an L7 degree, they were not more likely to progress to an F8 degree than those from other regions. Similarly, students from the North West</w:t>
      </w:r>
      <w:r w:rsidR="006759FE" w:rsidRPr="00FF773A">
        <w:rPr>
          <w:rFonts w:ascii="Calibri" w:hAnsi="Calibri"/>
          <w:sz w:val="20"/>
          <w:szCs w:val="20"/>
        </w:rPr>
        <w:t xml:space="preserve"> tended to be</w:t>
      </w:r>
      <w:r w:rsidRPr="00FF773A">
        <w:rPr>
          <w:rFonts w:ascii="Calibri" w:hAnsi="Calibri"/>
          <w:sz w:val="20"/>
          <w:szCs w:val="20"/>
        </w:rPr>
        <w:t xml:space="preserve"> more likely to progress to an F8 degree, but not to an L7 degree.</w:t>
      </w:r>
    </w:p>
    <w:p w14:paraId="6D9BBFC0" w14:textId="77777777" w:rsidR="00B9699E" w:rsidRPr="00FF773A" w:rsidRDefault="00B9699E" w:rsidP="00B9699E">
      <w:pPr>
        <w:rPr>
          <w:rFonts w:ascii="Calibri" w:hAnsi="Calibri"/>
          <w:sz w:val="20"/>
          <w:szCs w:val="20"/>
        </w:rPr>
      </w:pPr>
    </w:p>
    <w:p w14:paraId="1C5A9B02" w14:textId="7A2C5D8C" w:rsidR="00F824E1" w:rsidRPr="00FF773A" w:rsidRDefault="00F824E1" w:rsidP="00F824E1">
      <w:pPr>
        <w:pStyle w:val="Heading3"/>
        <w:contextualSpacing/>
        <w:rPr>
          <w:rFonts w:ascii="Calibri" w:eastAsia="Times New Roman" w:hAnsi="Calibri" w:cs="Calibri"/>
          <w:sz w:val="20"/>
          <w:szCs w:val="20"/>
        </w:rPr>
      </w:pPr>
      <w:bookmarkStart w:id="61" w:name="_Toc22033338"/>
      <w:r w:rsidRPr="00FF773A">
        <w:rPr>
          <w:rFonts w:ascii="Calibri" w:eastAsia="Times New Roman" w:hAnsi="Calibri" w:cs="Calibri"/>
          <w:sz w:val="20"/>
          <w:szCs w:val="20"/>
        </w:rPr>
        <w:t>3.4 School type</w:t>
      </w:r>
      <w:bookmarkEnd w:id="61"/>
    </w:p>
    <w:p w14:paraId="364C35C5" w14:textId="45FE47AB" w:rsidR="00B9699E" w:rsidRPr="00FF773A" w:rsidRDefault="00F824E1" w:rsidP="00F824E1">
      <w:pPr>
        <w:rPr>
          <w:rFonts w:ascii="Calibri" w:hAnsi="Calibri"/>
          <w:sz w:val="20"/>
          <w:szCs w:val="20"/>
        </w:rPr>
      </w:pPr>
      <w:r w:rsidRPr="00FF773A">
        <w:rPr>
          <w:rFonts w:ascii="Calibri" w:hAnsi="Calibri"/>
          <w:sz w:val="20"/>
          <w:szCs w:val="20"/>
        </w:rPr>
        <w:t>Generally, students from independent schools were the most likely to progress to a geography degree, with 21% of those who took A-Levels in 2015 having progressed by 2018. Those from selective state schools were next most likely, most years closely followed by those from non-</w:t>
      </w:r>
      <w:r w:rsidR="005D0B21" w:rsidRPr="00FF773A">
        <w:rPr>
          <w:rFonts w:ascii="Calibri" w:hAnsi="Calibri"/>
          <w:sz w:val="20"/>
          <w:szCs w:val="20"/>
        </w:rPr>
        <w:t>selective</w:t>
      </w:r>
      <w:r w:rsidRPr="00FF773A">
        <w:rPr>
          <w:rFonts w:ascii="Calibri" w:hAnsi="Calibri"/>
          <w:sz w:val="20"/>
          <w:szCs w:val="20"/>
        </w:rPr>
        <w:t xml:space="preserve"> state schools and sixth form colleges. Those from FE colleges were least likely; only 17% of those who took </w:t>
      </w:r>
      <w:r w:rsidR="00B646E2" w:rsidRPr="00FF773A">
        <w:rPr>
          <w:rFonts w:ascii="Calibri" w:hAnsi="Calibri"/>
          <w:sz w:val="20"/>
          <w:szCs w:val="20"/>
        </w:rPr>
        <w:t>A-Level</w:t>
      </w:r>
      <w:r w:rsidRPr="00FF773A">
        <w:rPr>
          <w:rFonts w:ascii="Calibri" w:hAnsi="Calibri"/>
          <w:sz w:val="20"/>
          <w:szCs w:val="20"/>
        </w:rPr>
        <w:t xml:space="preserve"> in 2015 progressed. </w:t>
      </w:r>
    </w:p>
    <w:p w14:paraId="542D1040" w14:textId="3856146F" w:rsidR="00F824E1" w:rsidRPr="00FF773A" w:rsidRDefault="00F824E1" w:rsidP="00F824E1">
      <w:pPr>
        <w:rPr>
          <w:rFonts w:ascii="Calibri" w:hAnsi="Calibri"/>
          <w:sz w:val="20"/>
          <w:szCs w:val="20"/>
        </w:rPr>
      </w:pPr>
    </w:p>
    <w:p w14:paraId="595AB84B" w14:textId="5BA62535" w:rsidR="00F824E1" w:rsidRPr="00FF773A" w:rsidRDefault="00F824E1" w:rsidP="00F824E1">
      <w:pPr>
        <w:rPr>
          <w:rFonts w:ascii="Calibri" w:hAnsi="Calibri"/>
          <w:sz w:val="20"/>
          <w:szCs w:val="20"/>
        </w:rPr>
      </w:pPr>
      <w:r w:rsidRPr="00FF773A">
        <w:rPr>
          <w:rFonts w:ascii="Calibri" w:hAnsi="Calibri"/>
          <w:sz w:val="20"/>
          <w:szCs w:val="20"/>
        </w:rPr>
        <w:t>The same pattern was clear when looking at progression to L7 degrees. However, for F8 degrees there were less differences by school type and, if anything, students from independent schools were slightly less likely to progress to this type of degree.</w:t>
      </w:r>
    </w:p>
    <w:p w14:paraId="0FEE4217" w14:textId="434C119B" w:rsidR="002C09F2" w:rsidRPr="00FF773A" w:rsidRDefault="002C09F2" w:rsidP="00F824E1">
      <w:pPr>
        <w:rPr>
          <w:rFonts w:ascii="Calibri" w:hAnsi="Calibri"/>
          <w:sz w:val="20"/>
          <w:szCs w:val="20"/>
        </w:rPr>
      </w:pPr>
    </w:p>
    <w:p w14:paraId="4C72D4E7" w14:textId="0AABE731" w:rsidR="002C09F2" w:rsidRPr="00FF773A" w:rsidRDefault="002C09F2" w:rsidP="002C09F2">
      <w:pPr>
        <w:pStyle w:val="Heading3"/>
        <w:contextualSpacing/>
        <w:rPr>
          <w:rFonts w:ascii="Calibri" w:eastAsia="Times New Roman" w:hAnsi="Calibri" w:cs="Calibri"/>
          <w:sz w:val="20"/>
          <w:szCs w:val="20"/>
        </w:rPr>
      </w:pPr>
      <w:bookmarkStart w:id="62" w:name="_Toc22033339"/>
      <w:r w:rsidRPr="00FF773A">
        <w:rPr>
          <w:rFonts w:ascii="Calibri" w:eastAsia="Times New Roman" w:hAnsi="Calibri" w:cs="Calibri"/>
          <w:sz w:val="20"/>
          <w:szCs w:val="20"/>
        </w:rPr>
        <w:lastRenderedPageBreak/>
        <w:t>3.5 Other A-Level subject choice</w:t>
      </w:r>
      <w:bookmarkEnd w:id="62"/>
    </w:p>
    <w:p w14:paraId="4E9FFD33" w14:textId="54673E91" w:rsidR="002C09F2" w:rsidRDefault="002C09F2" w:rsidP="002C09F2">
      <w:pPr>
        <w:rPr>
          <w:rFonts w:ascii="Calibri" w:hAnsi="Calibri"/>
          <w:sz w:val="20"/>
          <w:szCs w:val="20"/>
        </w:rPr>
      </w:pPr>
      <w:r w:rsidRPr="00FF773A">
        <w:rPr>
          <w:rFonts w:ascii="Calibri" w:hAnsi="Calibri"/>
          <w:sz w:val="20"/>
          <w:szCs w:val="20"/>
        </w:rPr>
        <w:t xml:space="preserve">Students who took an A-Level in business alongside geography were </w:t>
      </w:r>
      <w:r w:rsidR="00D13C4E" w:rsidRPr="00FF773A">
        <w:rPr>
          <w:rFonts w:ascii="Calibri" w:hAnsi="Calibri"/>
          <w:sz w:val="20"/>
          <w:szCs w:val="20"/>
        </w:rPr>
        <w:t>the least</w:t>
      </w:r>
      <w:r w:rsidR="001F1D66" w:rsidRPr="00FF773A">
        <w:rPr>
          <w:rFonts w:ascii="Calibri" w:hAnsi="Calibri"/>
          <w:sz w:val="20"/>
          <w:szCs w:val="20"/>
        </w:rPr>
        <w:t xml:space="preserve"> likely to progress; 13</w:t>
      </w:r>
      <w:r w:rsidRPr="00FF773A">
        <w:rPr>
          <w:rFonts w:ascii="Calibri" w:hAnsi="Calibri"/>
          <w:sz w:val="20"/>
          <w:szCs w:val="20"/>
        </w:rPr>
        <w:t xml:space="preserve">% of those </w:t>
      </w:r>
      <w:r w:rsidR="00D13C4E" w:rsidRPr="00FF773A">
        <w:rPr>
          <w:rFonts w:ascii="Calibri" w:hAnsi="Calibri"/>
          <w:sz w:val="20"/>
          <w:szCs w:val="20"/>
        </w:rPr>
        <w:t xml:space="preserve">who took geography A-Level in 2015 had progressed to a </w:t>
      </w:r>
      <w:r w:rsidR="00B646E2" w:rsidRPr="00FF773A">
        <w:rPr>
          <w:rFonts w:ascii="Calibri" w:hAnsi="Calibri"/>
          <w:sz w:val="20"/>
          <w:szCs w:val="20"/>
        </w:rPr>
        <w:t>geography</w:t>
      </w:r>
      <w:r w:rsidR="00D13C4E" w:rsidRPr="00FF773A">
        <w:rPr>
          <w:rFonts w:ascii="Calibri" w:hAnsi="Calibri"/>
          <w:sz w:val="20"/>
          <w:szCs w:val="20"/>
        </w:rPr>
        <w:t xml:space="preserve"> degree by 2018</w:t>
      </w:r>
      <w:r w:rsidR="001F1D66" w:rsidRPr="00FF773A">
        <w:rPr>
          <w:rFonts w:ascii="Calibri" w:hAnsi="Calibri"/>
          <w:sz w:val="20"/>
          <w:szCs w:val="20"/>
        </w:rPr>
        <w:t>, compared to 19</w:t>
      </w:r>
      <w:r w:rsidRPr="00FF773A">
        <w:rPr>
          <w:rFonts w:ascii="Calibri" w:hAnsi="Calibri"/>
          <w:sz w:val="20"/>
          <w:szCs w:val="20"/>
        </w:rPr>
        <w:t>% overall. Those who took physical education were also rather less likely to progress (</w:t>
      </w:r>
      <w:r w:rsidR="001F1D66" w:rsidRPr="00FF773A">
        <w:rPr>
          <w:rFonts w:ascii="Calibri" w:hAnsi="Calibri"/>
          <w:sz w:val="20"/>
          <w:szCs w:val="20"/>
        </w:rPr>
        <w:t>14</w:t>
      </w:r>
      <w:r w:rsidRPr="00FF773A">
        <w:rPr>
          <w:rFonts w:ascii="Calibri" w:hAnsi="Calibri"/>
          <w:sz w:val="20"/>
          <w:szCs w:val="20"/>
        </w:rPr>
        <w:t>%), as</w:t>
      </w:r>
      <w:r w:rsidR="001F1D66" w:rsidRPr="00FF773A">
        <w:rPr>
          <w:rFonts w:ascii="Calibri" w:hAnsi="Calibri"/>
          <w:sz w:val="20"/>
          <w:szCs w:val="20"/>
        </w:rPr>
        <w:t xml:space="preserve"> were those who took chemistry and physics (both 16</w:t>
      </w:r>
      <w:r w:rsidRPr="00FF773A">
        <w:rPr>
          <w:rFonts w:ascii="Calibri" w:hAnsi="Calibri"/>
          <w:sz w:val="20"/>
          <w:szCs w:val="20"/>
        </w:rPr>
        <w:t>%).</w:t>
      </w:r>
      <w:r w:rsidR="001F1D66" w:rsidRPr="00FF773A">
        <w:rPr>
          <w:rFonts w:ascii="Calibri" w:hAnsi="Calibri"/>
          <w:sz w:val="20"/>
          <w:szCs w:val="20"/>
        </w:rPr>
        <w:t xml:space="preserve"> Students who studied economics, history or</w:t>
      </w:r>
      <w:r w:rsidRPr="00FF773A">
        <w:rPr>
          <w:rFonts w:ascii="Calibri" w:hAnsi="Calibri"/>
          <w:sz w:val="20"/>
          <w:szCs w:val="20"/>
        </w:rPr>
        <w:t xml:space="preserve"> English </w:t>
      </w:r>
      <w:r w:rsidR="001F1D66" w:rsidRPr="00FF773A">
        <w:rPr>
          <w:rFonts w:ascii="Calibri" w:hAnsi="Calibri"/>
          <w:sz w:val="20"/>
          <w:szCs w:val="20"/>
        </w:rPr>
        <w:t>more likely than others, at 22</w:t>
      </w:r>
      <w:r w:rsidRPr="00FF773A">
        <w:rPr>
          <w:rFonts w:ascii="Calibri" w:hAnsi="Calibri"/>
          <w:sz w:val="20"/>
          <w:szCs w:val="20"/>
        </w:rPr>
        <w:t xml:space="preserve">%, </w:t>
      </w:r>
      <w:r w:rsidR="001F1D66" w:rsidRPr="00FF773A">
        <w:rPr>
          <w:rFonts w:ascii="Calibri" w:hAnsi="Calibri"/>
          <w:sz w:val="20"/>
          <w:szCs w:val="20"/>
        </w:rPr>
        <w:t>23</w:t>
      </w:r>
      <w:r w:rsidRPr="00FF773A">
        <w:rPr>
          <w:rFonts w:ascii="Calibri" w:hAnsi="Calibri"/>
          <w:sz w:val="20"/>
          <w:szCs w:val="20"/>
        </w:rPr>
        <w:t xml:space="preserve">% and </w:t>
      </w:r>
      <w:r w:rsidR="001F1D66" w:rsidRPr="00FF773A">
        <w:rPr>
          <w:rFonts w:ascii="Calibri" w:hAnsi="Calibri"/>
          <w:sz w:val="20"/>
          <w:szCs w:val="20"/>
        </w:rPr>
        <w:t>23</w:t>
      </w:r>
      <w:r w:rsidRPr="00FF773A">
        <w:rPr>
          <w:rFonts w:ascii="Calibri" w:hAnsi="Calibri"/>
          <w:sz w:val="20"/>
          <w:szCs w:val="20"/>
        </w:rPr>
        <w:t>% respectively for those who took A-L</w:t>
      </w:r>
      <w:r w:rsidR="00B165AD" w:rsidRPr="00FF773A">
        <w:rPr>
          <w:rFonts w:ascii="Calibri" w:hAnsi="Calibri"/>
          <w:sz w:val="20"/>
          <w:szCs w:val="20"/>
        </w:rPr>
        <w:t>evels in 2015</w:t>
      </w:r>
      <w:r w:rsidRPr="00FF773A">
        <w:rPr>
          <w:rFonts w:ascii="Calibri" w:hAnsi="Calibri"/>
          <w:sz w:val="20"/>
          <w:szCs w:val="20"/>
        </w:rPr>
        <w:t>.</w:t>
      </w:r>
      <w:r w:rsidR="00F62C1C">
        <w:rPr>
          <w:rFonts w:ascii="Calibri" w:hAnsi="Calibri"/>
          <w:sz w:val="20"/>
          <w:szCs w:val="20"/>
        </w:rPr>
        <w:t xml:space="preserve"> </w:t>
      </w:r>
    </w:p>
    <w:p w14:paraId="2D3C745D" w14:textId="77777777" w:rsidR="00F62C1C" w:rsidRDefault="00F62C1C" w:rsidP="002C09F2">
      <w:pPr>
        <w:rPr>
          <w:rFonts w:ascii="Calibri" w:hAnsi="Calibri"/>
          <w:sz w:val="20"/>
          <w:szCs w:val="20"/>
        </w:rPr>
      </w:pPr>
    </w:p>
    <w:p w14:paraId="0348D02E" w14:textId="505F62A3" w:rsidR="00F62C1C" w:rsidRPr="00FF773A" w:rsidRDefault="00F62C1C" w:rsidP="002C09F2">
      <w:pPr>
        <w:rPr>
          <w:rFonts w:ascii="Calibri" w:hAnsi="Calibri"/>
          <w:sz w:val="20"/>
          <w:szCs w:val="20"/>
        </w:rPr>
      </w:pPr>
      <w:r w:rsidRPr="00F62C1C">
        <w:rPr>
          <w:rFonts w:ascii="Calibri" w:hAnsi="Calibri"/>
          <w:noProof/>
          <w:sz w:val="20"/>
          <w:szCs w:val="20"/>
          <w:lang w:eastAsia="en-GB"/>
        </w:rPr>
        <w:drawing>
          <wp:inline distT="0" distB="0" distL="0" distR="0" wp14:anchorId="2AF7D70B" wp14:editId="6A86E760">
            <wp:extent cx="5174937" cy="3680142"/>
            <wp:effectExtent l="0" t="0" r="6985" b="0"/>
            <wp:docPr id="1" name="Picture 1" descr="C:\Users\cjsou\Desktop\Messages on Geography\Progression from A Level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jsou\Desktop\Messages on Geography\Progression from A Level char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9602" cy="3683459"/>
                    </a:xfrm>
                    <a:prstGeom prst="rect">
                      <a:avLst/>
                    </a:prstGeom>
                    <a:noFill/>
                    <a:ln>
                      <a:noFill/>
                    </a:ln>
                  </pic:spPr>
                </pic:pic>
              </a:graphicData>
            </a:graphic>
          </wp:inline>
        </w:drawing>
      </w:r>
    </w:p>
    <w:p w14:paraId="6AC17141" w14:textId="77777777" w:rsidR="002C09F2" w:rsidRDefault="002C09F2" w:rsidP="002C09F2">
      <w:pPr>
        <w:rPr>
          <w:rFonts w:ascii="Calibri" w:hAnsi="Calibri"/>
          <w:sz w:val="20"/>
          <w:szCs w:val="20"/>
        </w:rPr>
      </w:pPr>
    </w:p>
    <w:p w14:paraId="17D821B6" w14:textId="50F88804" w:rsidR="00F62C1C" w:rsidRPr="00F62C1C" w:rsidRDefault="00F62C1C" w:rsidP="002C09F2">
      <w:pPr>
        <w:rPr>
          <w:rFonts w:ascii="Calibri" w:hAnsi="Calibri"/>
          <w:i/>
          <w:sz w:val="20"/>
          <w:szCs w:val="20"/>
        </w:rPr>
      </w:pPr>
      <w:r w:rsidRPr="00F62C1C">
        <w:rPr>
          <w:rFonts w:ascii="Calibri" w:hAnsi="Calibri"/>
          <w:i/>
          <w:sz w:val="20"/>
          <w:szCs w:val="20"/>
        </w:rPr>
        <w:t>Graphic generated by Martin Davis, RGS-IBG.</w:t>
      </w:r>
    </w:p>
    <w:p w14:paraId="5991FF35" w14:textId="77777777" w:rsidR="00F62C1C" w:rsidRPr="00F62C1C" w:rsidRDefault="00F62C1C" w:rsidP="002C09F2">
      <w:pPr>
        <w:rPr>
          <w:rFonts w:ascii="Calibri" w:hAnsi="Calibri"/>
          <w:i/>
          <w:sz w:val="20"/>
          <w:szCs w:val="20"/>
        </w:rPr>
      </w:pPr>
    </w:p>
    <w:p w14:paraId="1A22C1C0" w14:textId="51D9D936" w:rsidR="002C09F2" w:rsidRPr="00FF773A" w:rsidRDefault="00D13C4E" w:rsidP="002C09F2">
      <w:pPr>
        <w:rPr>
          <w:rFonts w:ascii="Calibri" w:hAnsi="Calibri"/>
          <w:sz w:val="20"/>
          <w:szCs w:val="20"/>
        </w:rPr>
      </w:pPr>
      <w:r w:rsidRPr="00FF773A">
        <w:rPr>
          <w:rFonts w:ascii="Calibri" w:hAnsi="Calibri"/>
          <w:sz w:val="20"/>
          <w:szCs w:val="20"/>
        </w:rPr>
        <w:t xml:space="preserve">As might be expected, there are some differences when we look at the different degree types. </w:t>
      </w:r>
      <w:r w:rsidR="002C09F2" w:rsidRPr="00FF773A">
        <w:rPr>
          <w:rFonts w:ascii="Calibri" w:hAnsi="Calibri"/>
          <w:sz w:val="20"/>
          <w:szCs w:val="20"/>
        </w:rPr>
        <w:t xml:space="preserve">Students with an A-Level in </w:t>
      </w:r>
      <w:r w:rsidR="001F1D66" w:rsidRPr="00FF773A">
        <w:rPr>
          <w:rFonts w:ascii="Calibri" w:hAnsi="Calibri"/>
          <w:sz w:val="20"/>
          <w:szCs w:val="20"/>
        </w:rPr>
        <w:t xml:space="preserve">physics, </w:t>
      </w:r>
      <w:r w:rsidR="002C09F2" w:rsidRPr="00FF773A">
        <w:rPr>
          <w:rFonts w:ascii="Calibri" w:hAnsi="Calibri"/>
          <w:sz w:val="20"/>
          <w:szCs w:val="20"/>
        </w:rPr>
        <w:t xml:space="preserve">biology or chemistry were </w:t>
      </w:r>
      <w:r w:rsidR="005D0B21" w:rsidRPr="00FF773A">
        <w:rPr>
          <w:rFonts w:ascii="Calibri" w:hAnsi="Calibri"/>
          <w:sz w:val="20"/>
          <w:szCs w:val="20"/>
        </w:rPr>
        <w:t>particularly</w:t>
      </w:r>
      <w:r w:rsidR="002C09F2" w:rsidRPr="00FF773A">
        <w:rPr>
          <w:rFonts w:ascii="Calibri" w:hAnsi="Calibri"/>
          <w:sz w:val="20"/>
          <w:szCs w:val="20"/>
        </w:rPr>
        <w:t xml:space="preserve"> </w:t>
      </w:r>
      <w:r w:rsidRPr="00FF773A">
        <w:rPr>
          <w:rFonts w:ascii="Calibri" w:hAnsi="Calibri"/>
          <w:sz w:val="20"/>
          <w:szCs w:val="20"/>
        </w:rPr>
        <w:t>likely to progress to studying an F8 degree</w:t>
      </w:r>
      <w:r w:rsidR="002C09F2" w:rsidRPr="00FF773A">
        <w:rPr>
          <w:rFonts w:ascii="Calibri" w:hAnsi="Calibri"/>
          <w:sz w:val="20"/>
          <w:szCs w:val="20"/>
        </w:rPr>
        <w:t xml:space="preserve">, at </w:t>
      </w:r>
      <w:r w:rsidR="001F1D66" w:rsidRPr="00FF773A">
        <w:rPr>
          <w:rFonts w:ascii="Calibri" w:hAnsi="Calibri"/>
          <w:sz w:val="20"/>
          <w:szCs w:val="20"/>
        </w:rPr>
        <w:t>12%, 13% and 11</w:t>
      </w:r>
      <w:r w:rsidR="002C09F2" w:rsidRPr="00FF773A">
        <w:rPr>
          <w:rFonts w:ascii="Calibri" w:hAnsi="Calibri"/>
          <w:sz w:val="20"/>
          <w:szCs w:val="20"/>
        </w:rPr>
        <w:t>%</w:t>
      </w:r>
      <w:r w:rsidR="00B646E2" w:rsidRPr="00FF773A">
        <w:rPr>
          <w:rFonts w:ascii="Calibri" w:hAnsi="Calibri"/>
          <w:sz w:val="20"/>
          <w:szCs w:val="20"/>
        </w:rPr>
        <w:t xml:space="preserve"> of 2015 geography A-Level students</w:t>
      </w:r>
      <w:r w:rsidR="001F1D66" w:rsidRPr="00FF773A">
        <w:rPr>
          <w:rFonts w:ascii="Calibri" w:hAnsi="Calibri"/>
          <w:sz w:val="20"/>
          <w:szCs w:val="20"/>
        </w:rPr>
        <w:t>, compared to an overall rate of 9%</w:t>
      </w:r>
      <w:r w:rsidR="002C09F2" w:rsidRPr="00FF773A">
        <w:rPr>
          <w:rFonts w:ascii="Calibri" w:hAnsi="Calibri"/>
          <w:sz w:val="20"/>
          <w:szCs w:val="20"/>
        </w:rPr>
        <w:t xml:space="preserve">. Those who took business or economics at A-Level </w:t>
      </w:r>
      <w:r w:rsidR="001F1D66" w:rsidRPr="00FF773A">
        <w:rPr>
          <w:rFonts w:ascii="Calibri" w:hAnsi="Calibri"/>
          <w:sz w:val="20"/>
          <w:szCs w:val="20"/>
        </w:rPr>
        <w:t>were less likely to progress (6% and 7</w:t>
      </w:r>
      <w:r w:rsidR="002C09F2" w:rsidRPr="00FF773A">
        <w:rPr>
          <w:rFonts w:ascii="Calibri" w:hAnsi="Calibri"/>
          <w:sz w:val="20"/>
          <w:szCs w:val="20"/>
        </w:rPr>
        <w:t>%).</w:t>
      </w:r>
    </w:p>
    <w:p w14:paraId="426FB53F" w14:textId="77777777" w:rsidR="002C09F2" w:rsidRPr="00FF773A" w:rsidRDefault="002C09F2" w:rsidP="002C09F2">
      <w:pPr>
        <w:rPr>
          <w:rFonts w:ascii="Calibri" w:hAnsi="Calibri"/>
          <w:sz w:val="20"/>
          <w:szCs w:val="20"/>
        </w:rPr>
      </w:pPr>
    </w:p>
    <w:p w14:paraId="584C3469" w14:textId="2B123DA4" w:rsidR="002C09F2" w:rsidRPr="00FF773A" w:rsidRDefault="00B646E2" w:rsidP="002C09F2">
      <w:pPr>
        <w:rPr>
          <w:rFonts w:ascii="Calibri" w:hAnsi="Calibri"/>
          <w:sz w:val="20"/>
          <w:szCs w:val="20"/>
        </w:rPr>
      </w:pPr>
      <w:r w:rsidRPr="00FF773A">
        <w:rPr>
          <w:rFonts w:ascii="Calibri" w:hAnsi="Calibri"/>
          <w:sz w:val="20"/>
          <w:szCs w:val="20"/>
        </w:rPr>
        <w:t>Looking at L7 degrees, s</w:t>
      </w:r>
      <w:r w:rsidR="005D0B21" w:rsidRPr="00FF773A">
        <w:rPr>
          <w:rFonts w:ascii="Calibri" w:hAnsi="Calibri"/>
          <w:sz w:val="20"/>
          <w:szCs w:val="20"/>
        </w:rPr>
        <w:t>tudents</w:t>
      </w:r>
      <w:r w:rsidR="002C09F2" w:rsidRPr="00FF773A">
        <w:rPr>
          <w:rFonts w:ascii="Calibri" w:hAnsi="Calibri"/>
          <w:sz w:val="20"/>
          <w:szCs w:val="20"/>
        </w:rPr>
        <w:t xml:space="preserve"> who studied economics at A-Level were mos</w:t>
      </w:r>
      <w:r w:rsidR="001F1D66" w:rsidRPr="00FF773A">
        <w:rPr>
          <w:rFonts w:ascii="Calibri" w:hAnsi="Calibri"/>
          <w:sz w:val="20"/>
          <w:szCs w:val="20"/>
        </w:rPr>
        <w:t>t likely to progress (15</w:t>
      </w:r>
      <w:r w:rsidRPr="00FF773A">
        <w:rPr>
          <w:rFonts w:ascii="Calibri" w:hAnsi="Calibri"/>
          <w:sz w:val="20"/>
          <w:szCs w:val="20"/>
        </w:rPr>
        <w:t>% of 2015 A-Level students)</w:t>
      </w:r>
      <w:r w:rsidR="002C09F2" w:rsidRPr="00FF773A">
        <w:rPr>
          <w:rFonts w:ascii="Calibri" w:hAnsi="Calibri"/>
          <w:sz w:val="20"/>
          <w:szCs w:val="20"/>
        </w:rPr>
        <w:t xml:space="preserve">, followed by those who </w:t>
      </w:r>
      <w:r w:rsidR="005D0B21" w:rsidRPr="00FF773A">
        <w:rPr>
          <w:rFonts w:ascii="Calibri" w:hAnsi="Calibri"/>
          <w:sz w:val="20"/>
          <w:szCs w:val="20"/>
        </w:rPr>
        <w:t>studied</w:t>
      </w:r>
      <w:r w:rsidR="002C09F2" w:rsidRPr="00FF773A">
        <w:rPr>
          <w:rFonts w:ascii="Calibri" w:hAnsi="Calibri"/>
          <w:sz w:val="20"/>
          <w:szCs w:val="20"/>
        </w:rPr>
        <w:t xml:space="preserve"> history or English</w:t>
      </w:r>
      <w:r w:rsidR="001F1D66" w:rsidRPr="00FF773A">
        <w:rPr>
          <w:rFonts w:ascii="Calibri" w:hAnsi="Calibri"/>
          <w:sz w:val="20"/>
          <w:szCs w:val="20"/>
        </w:rPr>
        <w:t xml:space="preserve"> ((14</w:t>
      </w:r>
      <w:r w:rsidRPr="00FF773A">
        <w:rPr>
          <w:rFonts w:ascii="Calibri" w:hAnsi="Calibri"/>
          <w:sz w:val="20"/>
          <w:szCs w:val="20"/>
        </w:rPr>
        <w:t xml:space="preserve">% and </w:t>
      </w:r>
      <w:r w:rsidR="001F1D66" w:rsidRPr="00FF773A">
        <w:rPr>
          <w:rFonts w:ascii="Calibri" w:hAnsi="Calibri"/>
          <w:sz w:val="20"/>
          <w:szCs w:val="20"/>
        </w:rPr>
        <w:t>13</w:t>
      </w:r>
      <w:r w:rsidRPr="00FF773A">
        <w:rPr>
          <w:rFonts w:ascii="Calibri" w:hAnsi="Calibri"/>
          <w:sz w:val="20"/>
          <w:szCs w:val="20"/>
        </w:rPr>
        <w:t>%)</w:t>
      </w:r>
      <w:r w:rsidR="002C09F2" w:rsidRPr="00FF773A">
        <w:rPr>
          <w:rFonts w:ascii="Calibri" w:hAnsi="Calibri"/>
          <w:sz w:val="20"/>
          <w:szCs w:val="20"/>
        </w:rPr>
        <w:t xml:space="preserve">. </w:t>
      </w:r>
      <w:r w:rsidR="001F1D66" w:rsidRPr="00FF773A">
        <w:rPr>
          <w:rFonts w:ascii="Calibri" w:hAnsi="Calibri"/>
          <w:sz w:val="20"/>
          <w:szCs w:val="20"/>
        </w:rPr>
        <w:t xml:space="preserve">This compares to an overall rate of 10%. </w:t>
      </w:r>
      <w:r w:rsidR="002C09F2" w:rsidRPr="00FF773A">
        <w:rPr>
          <w:rFonts w:ascii="Calibri" w:hAnsi="Calibri"/>
          <w:sz w:val="20"/>
          <w:szCs w:val="20"/>
        </w:rPr>
        <w:t>Least likely to progress were those who took science A-Levels, particularly physics and chemistry</w:t>
      </w:r>
      <w:r w:rsidRPr="00FF773A">
        <w:rPr>
          <w:rFonts w:ascii="Calibri" w:hAnsi="Calibri"/>
          <w:sz w:val="20"/>
          <w:szCs w:val="20"/>
        </w:rPr>
        <w:t xml:space="preserve"> </w:t>
      </w:r>
      <w:r w:rsidR="001F1D66" w:rsidRPr="00FF773A">
        <w:rPr>
          <w:rFonts w:ascii="Calibri" w:hAnsi="Calibri"/>
          <w:sz w:val="20"/>
          <w:szCs w:val="20"/>
        </w:rPr>
        <w:t>(4</w:t>
      </w:r>
      <w:r w:rsidRPr="00FF773A">
        <w:rPr>
          <w:rFonts w:ascii="Calibri" w:hAnsi="Calibri"/>
          <w:sz w:val="20"/>
          <w:szCs w:val="20"/>
        </w:rPr>
        <w:t xml:space="preserve">% and </w:t>
      </w:r>
      <w:r w:rsidR="001F1D66" w:rsidRPr="00FF773A">
        <w:rPr>
          <w:rFonts w:ascii="Calibri" w:hAnsi="Calibri"/>
          <w:sz w:val="20"/>
          <w:szCs w:val="20"/>
        </w:rPr>
        <w:t>5</w:t>
      </w:r>
      <w:r w:rsidRPr="00FF773A">
        <w:rPr>
          <w:rFonts w:ascii="Calibri" w:hAnsi="Calibri"/>
          <w:sz w:val="20"/>
          <w:szCs w:val="20"/>
        </w:rPr>
        <w:t>%)</w:t>
      </w:r>
      <w:r w:rsidR="002C09F2" w:rsidRPr="00FF773A">
        <w:rPr>
          <w:rFonts w:ascii="Calibri" w:hAnsi="Calibri"/>
          <w:sz w:val="20"/>
          <w:szCs w:val="20"/>
        </w:rPr>
        <w:t>. Students who took PE and business were also less likely to progress</w:t>
      </w:r>
      <w:r w:rsidRPr="00FF773A">
        <w:rPr>
          <w:rFonts w:ascii="Calibri" w:hAnsi="Calibri"/>
          <w:sz w:val="20"/>
          <w:szCs w:val="20"/>
        </w:rPr>
        <w:t xml:space="preserve"> (</w:t>
      </w:r>
      <w:r w:rsidR="001F1D66" w:rsidRPr="00FF773A">
        <w:rPr>
          <w:rFonts w:ascii="Calibri" w:hAnsi="Calibri"/>
          <w:sz w:val="20"/>
          <w:szCs w:val="20"/>
        </w:rPr>
        <w:t>both 7</w:t>
      </w:r>
      <w:r w:rsidRPr="00FF773A">
        <w:rPr>
          <w:rFonts w:ascii="Calibri" w:hAnsi="Calibri"/>
          <w:sz w:val="20"/>
          <w:szCs w:val="20"/>
        </w:rPr>
        <w:t>%)</w:t>
      </w:r>
      <w:r w:rsidR="002C09F2" w:rsidRPr="00FF773A">
        <w:rPr>
          <w:rFonts w:ascii="Calibri" w:hAnsi="Calibri"/>
          <w:sz w:val="20"/>
          <w:szCs w:val="20"/>
        </w:rPr>
        <w:t>.</w:t>
      </w:r>
    </w:p>
    <w:p w14:paraId="6C511D2E" w14:textId="77777777" w:rsidR="00F824E1" w:rsidRPr="00FF773A" w:rsidRDefault="00F824E1" w:rsidP="00F824E1">
      <w:pPr>
        <w:rPr>
          <w:rFonts w:ascii="Calibri" w:hAnsi="Calibri"/>
          <w:sz w:val="20"/>
          <w:szCs w:val="20"/>
        </w:rPr>
      </w:pPr>
    </w:p>
    <w:p w14:paraId="00050FA8" w14:textId="4E4126DD" w:rsidR="003B78CE" w:rsidRPr="00FF773A" w:rsidRDefault="00B646E2" w:rsidP="001534DD">
      <w:pPr>
        <w:pStyle w:val="Heading2"/>
        <w:numPr>
          <w:ilvl w:val="0"/>
          <w:numId w:val="27"/>
        </w:numPr>
        <w:rPr>
          <w:rFonts w:ascii="Calibri" w:hAnsi="Calibri" w:cs="Calibri"/>
          <w:sz w:val="20"/>
          <w:szCs w:val="20"/>
        </w:rPr>
      </w:pPr>
      <w:bookmarkStart w:id="63" w:name="_Toc22033340"/>
      <w:r w:rsidRPr="00FF773A">
        <w:rPr>
          <w:rFonts w:ascii="Calibri" w:hAnsi="Calibri" w:cs="Calibri"/>
          <w:sz w:val="20"/>
          <w:szCs w:val="20"/>
        </w:rPr>
        <w:t>Progression to o</w:t>
      </w:r>
      <w:r w:rsidR="002C09F2" w:rsidRPr="00FF773A">
        <w:rPr>
          <w:rFonts w:ascii="Calibri" w:hAnsi="Calibri" w:cs="Calibri"/>
          <w:sz w:val="20"/>
          <w:szCs w:val="20"/>
        </w:rPr>
        <w:t>ther subjects</w:t>
      </w:r>
      <w:r w:rsidR="00EB61C0" w:rsidRPr="00FF773A">
        <w:rPr>
          <w:rFonts w:ascii="Calibri" w:hAnsi="Calibri" w:cs="Calibri"/>
          <w:sz w:val="20"/>
          <w:szCs w:val="20"/>
        </w:rPr>
        <w:t xml:space="preserve"> at degree</w:t>
      </w:r>
      <w:r w:rsidRPr="00FF773A">
        <w:rPr>
          <w:rFonts w:ascii="Calibri" w:hAnsi="Calibri" w:cs="Calibri"/>
          <w:sz w:val="20"/>
          <w:szCs w:val="20"/>
        </w:rPr>
        <w:t xml:space="preserve"> level</w:t>
      </w:r>
      <w:bookmarkEnd w:id="63"/>
    </w:p>
    <w:p w14:paraId="7D8FC253" w14:textId="77777777" w:rsidR="00B646E2" w:rsidRPr="00FF773A" w:rsidRDefault="00B646E2" w:rsidP="00B646E2">
      <w:pPr>
        <w:pStyle w:val="ListParagraph"/>
        <w:ind w:left="360"/>
        <w:rPr>
          <w:rFonts w:ascii="Calibri" w:hAnsi="Calibri" w:cs="Calibri"/>
          <w:sz w:val="20"/>
          <w:szCs w:val="20"/>
        </w:rPr>
      </w:pPr>
    </w:p>
    <w:p w14:paraId="00D525E7" w14:textId="5CFB2293" w:rsidR="00DD1E31" w:rsidRPr="00FF773A" w:rsidRDefault="00026E71" w:rsidP="00DD1E31">
      <w:pPr>
        <w:rPr>
          <w:rFonts w:ascii="Calibri" w:hAnsi="Calibri"/>
          <w:sz w:val="20"/>
          <w:szCs w:val="20"/>
        </w:rPr>
      </w:pPr>
      <w:r>
        <w:rPr>
          <w:rFonts w:ascii="Calibri" w:hAnsi="Calibri"/>
          <w:sz w:val="20"/>
          <w:szCs w:val="20"/>
        </w:rPr>
        <w:t>A</w:t>
      </w:r>
      <w:r w:rsidR="00DD1E31" w:rsidRPr="00FF773A">
        <w:rPr>
          <w:rFonts w:ascii="Calibri" w:hAnsi="Calibri"/>
          <w:sz w:val="20"/>
          <w:szCs w:val="20"/>
        </w:rPr>
        <w:t xml:space="preserve">round 19-20% of A-Level </w:t>
      </w:r>
      <w:r w:rsidR="005D0B21" w:rsidRPr="00FF773A">
        <w:rPr>
          <w:rFonts w:ascii="Calibri" w:hAnsi="Calibri"/>
          <w:sz w:val="20"/>
          <w:szCs w:val="20"/>
        </w:rPr>
        <w:t>geography</w:t>
      </w:r>
      <w:r w:rsidR="00DD1E31" w:rsidRPr="00FF773A">
        <w:rPr>
          <w:rFonts w:ascii="Calibri" w:hAnsi="Calibri"/>
          <w:sz w:val="20"/>
          <w:szCs w:val="20"/>
        </w:rPr>
        <w:t xml:space="preserve"> students went on to take a </w:t>
      </w:r>
      <w:r w:rsidR="005D0B21" w:rsidRPr="00FF773A">
        <w:rPr>
          <w:rFonts w:ascii="Calibri" w:hAnsi="Calibri"/>
          <w:sz w:val="20"/>
          <w:szCs w:val="20"/>
        </w:rPr>
        <w:t>geography</w:t>
      </w:r>
      <w:r w:rsidR="00DD1E31" w:rsidRPr="00FF773A">
        <w:rPr>
          <w:rFonts w:ascii="Calibri" w:hAnsi="Calibri"/>
          <w:sz w:val="20"/>
          <w:szCs w:val="20"/>
        </w:rPr>
        <w:t xml:space="preserve"> degree in the</w:t>
      </w:r>
      <w:r>
        <w:rPr>
          <w:rFonts w:ascii="Calibri" w:hAnsi="Calibri"/>
          <w:sz w:val="20"/>
          <w:szCs w:val="20"/>
        </w:rPr>
        <w:t xml:space="preserve"> period covered by this report, with a</w:t>
      </w:r>
      <w:r w:rsidR="00DD1E31" w:rsidRPr="00FF773A">
        <w:rPr>
          <w:rFonts w:ascii="Calibri" w:hAnsi="Calibri"/>
          <w:sz w:val="20"/>
          <w:szCs w:val="20"/>
        </w:rPr>
        <w:t xml:space="preserve">round two thirds of A-Level geography </w:t>
      </w:r>
      <w:r w:rsidR="005D0B21" w:rsidRPr="00FF773A">
        <w:rPr>
          <w:rFonts w:ascii="Calibri" w:hAnsi="Calibri"/>
          <w:sz w:val="20"/>
          <w:szCs w:val="20"/>
        </w:rPr>
        <w:t>students</w:t>
      </w:r>
      <w:r w:rsidR="00DD1E31" w:rsidRPr="00FF773A">
        <w:rPr>
          <w:rFonts w:ascii="Calibri" w:hAnsi="Calibri"/>
          <w:sz w:val="20"/>
          <w:szCs w:val="20"/>
        </w:rPr>
        <w:t xml:space="preserve"> </w:t>
      </w:r>
      <w:r>
        <w:rPr>
          <w:rFonts w:ascii="Calibri" w:hAnsi="Calibri"/>
          <w:sz w:val="20"/>
          <w:szCs w:val="20"/>
        </w:rPr>
        <w:t xml:space="preserve">going </w:t>
      </w:r>
      <w:r w:rsidR="00DD1E31" w:rsidRPr="00FF773A">
        <w:rPr>
          <w:rFonts w:ascii="Calibri" w:hAnsi="Calibri"/>
          <w:sz w:val="20"/>
          <w:szCs w:val="20"/>
        </w:rPr>
        <w:t xml:space="preserve">on to study subjects other than geography at degree level. This was less consistent year-on-year than the </w:t>
      </w:r>
      <w:r w:rsidR="005D0B21" w:rsidRPr="00FF773A">
        <w:rPr>
          <w:rFonts w:ascii="Calibri" w:hAnsi="Calibri"/>
          <w:sz w:val="20"/>
          <w:szCs w:val="20"/>
        </w:rPr>
        <w:t>proportion</w:t>
      </w:r>
      <w:r w:rsidR="00DD1E31" w:rsidRPr="00FF773A">
        <w:rPr>
          <w:rFonts w:ascii="Calibri" w:hAnsi="Calibri"/>
          <w:sz w:val="20"/>
          <w:szCs w:val="20"/>
        </w:rPr>
        <w:t xml:space="preserve"> of students who went on to study geography. It was at its highest in 2009, but then fell every year until 2014, following reforms to higher education funding in 2010. </w:t>
      </w:r>
    </w:p>
    <w:p w14:paraId="7B115A11" w14:textId="4783398F" w:rsidR="00B646E2" w:rsidRPr="00FF773A" w:rsidRDefault="00B646E2" w:rsidP="00DD1E31">
      <w:pPr>
        <w:rPr>
          <w:rFonts w:ascii="Calibri" w:hAnsi="Calibri"/>
          <w:sz w:val="20"/>
          <w:szCs w:val="20"/>
        </w:rPr>
      </w:pPr>
    </w:p>
    <w:p w14:paraId="44270F12" w14:textId="6BF0E560" w:rsidR="00DD1E31" w:rsidRPr="00FF773A" w:rsidRDefault="00DD1E31" w:rsidP="00DD1E31">
      <w:pPr>
        <w:rPr>
          <w:rFonts w:ascii="Calibri" w:hAnsi="Calibri"/>
          <w:sz w:val="20"/>
          <w:szCs w:val="20"/>
        </w:rPr>
      </w:pPr>
      <w:r w:rsidRPr="00FF773A">
        <w:rPr>
          <w:rFonts w:ascii="Calibri" w:hAnsi="Calibri"/>
          <w:sz w:val="20"/>
          <w:szCs w:val="20"/>
        </w:rPr>
        <w:t xml:space="preserve">Geography A-Level students went on to study a broad range of subjects at university. </w:t>
      </w:r>
      <w:r w:rsidR="00026E71" w:rsidRPr="00FF773A">
        <w:rPr>
          <w:rFonts w:ascii="Calibri" w:hAnsi="Calibri"/>
          <w:sz w:val="20"/>
          <w:szCs w:val="20"/>
        </w:rPr>
        <w:t xml:space="preserve">The chart </w:t>
      </w:r>
      <w:r w:rsidR="00026E71">
        <w:rPr>
          <w:rFonts w:ascii="Calibri" w:hAnsi="Calibri"/>
          <w:sz w:val="20"/>
          <w:szCs w:val="20"/>
        </w:rPr>
        <w:t>below</w:t>
      </w:r>
      <w:r w:rsidR="00026E71" w:rsidRPr="00FF773A">
        <w:rPr>
          <w:rFonts w:ascii="Calibri" w:hAnsi="Calibri"/>
          <w:sz w:val="20"/>
          <w:szCs w:val="20"/>
        </w:rPr>
        <w:t xml:space="preserve"> gives an overview of the destinations of A-Level geography students from 2004-2017. The degree subjects used here are those defined by JACS. </w:t>
      </w:r>
      <w:r w:rsidRPr="00FF773A">
        <w:rPr>
          <w:rFonts w:ascii="Calibri" w:hAnsi="Calibri"/>
          <w:sz w:val="20"/>
          <w:szCs w:val="20"/>
        </w:rPr>
        <w:t xml:space="preserve">Biological sciences were the most popular, with 10% of students who took A-Level geography in 2015 progressing to a degree in that area by </w:t>
      </w:r>
      <w:r w:rsidR="00B165AD" w:rsidRPr="00FF773A">
        <w:rPr>
          <w:rFonts w:ascii="Calibri" w:hAnsi="Calibri"/>
          <w:sz w:val="20"/>
          <w:szCs w:val="20"/>
        </w:rPr>
        <w:t>2018</w:t>
      </w:r>
      <w:r w:rsidRPr="00FF773A">
        <w:rPr>
          <w:rFonts w:ascii="Calibri" w:hAnsi="Calibri"/>
          <w:sz w:val="20"/>
          <w:szCs w:val="20"/>
        </w:rPr>
        <w:t xml:space="preserve">. Social studies (other than human and social </w:t>
      </w:r>
      <w:r w:rsidR="005D0B21" w:rsidRPr="00FF773A">
        <w:rPr>
          <w:rFonts w:ascii="Calibri" w:hAnsi="Calibri"/>
          <w:sz w:val="20"/>
          <w:szCs w:val="20"/>
        </w:rPr>
        <w:lastRenderedPageBreak/>
        <w:t>geography</w:t>
      </w:r>
      <w:r w:rsidRPr="00FF773A">
        <w:rPr>
          <w:rFonts w:ascii="Calibri" w:hAnsi="Calibri"/>
          <w:sz w:val="20"/>
          <w:szCs w:val="20"/>
        </w:rPr>
        <w:t xml:space="preserve">) were also very popular, with 9% of 2015 </w:t>
      </w:r>
      <w:r w:rsidR="00B646E2" w:rsidRPr="00FF773A">
        <w:rPr>
          <w:rFonts w:ascii="Calibri" w:hAnsi="Calibri"/>
          <w:sz w:val="20"/>
          <w:szCs w:val="20"/>
        </w:rPr>
        <w:t xml:space="preserve">geography </w:t>
      </w:r>
      <w:r w:rsidRPr="00FF773A">
        <w:rPr>
          <w:rFonts w:ascii="Calibri" w:hAnsi="Calibri"/>
          <w:sz w:val="20"/>
          <w:szCs w:val="20"/>
        </w:rPr>
        <w:t xml:space="preserve">A-Level students progressing to study in this area by </w:t>
      </w:r>
      <w:r w:rsidR="00B165AD" w:rsidRPr="00FF773A">
        <w:rPr>
          <w:rFonts w:ascii="Calibri" w:hAnsi="Calibri"/>
          <w:sz w:val="20"/>
          <w:szCs w:val="20"/>
        </w:rPr>
        <w:t>2018</w:t>
      </w:r>
      <w:r w:rsidRPr="00FF773A">
        <w:rPr>
          <w:rFonts w:ascii="Calibri" w:hAnsi="Calibri"/>
          <w:sz w:val="20"/>
          <w:szCs w:val="20"/>
        </w:rPr>
        <w:t>, as were business and administrative studies, also with 9% progressing.</w:t>
      </w:r>
    </w:p>
    <w:p w14:paraId="6D01FFD4" w14:textId="77777777" w:rsidR="00564706" w:rsidRDefault="00564706" w:rsidP="00106F80">
      <w:pPr>
        <w:jc w:val="center"/>
      </w:pPr>
    </w:p>
    <w:p w14:paraId="139C73A3" w14:textId="77777777" w:rsidR="00026E71" w:rsidRDefault="00026E71" w:rsidP="00106F80">
      <w:pPr>
        <w:jc w:val="center"/>
      </w:pPr>
    </w:p>
    <w:p w14:paraId="50E0EC20" w14:textId="77777777" w:rsidR="00026E71" w:rsidRDefault="00026E71" w:rsidP="00106F80">
      <w:pPr>
        <w:jc w:val="center"/>
      </w:pPr>
    </w:p>
    <w:p w14:paraId="161DE18A" w14:textId="1978F47F" w:rsidR="00026E71" w:rsidRDefault="00026E71" w:rsidP="00106F80">
      <w:pPr>
        <w:jc w:val="center"/>
      </w:pPr>
      <w:r>
        <w:rPr>
          <w:noProof/>
          <w:lang w:eastAsia="en-GB"/>
        </w:rPr>
        <w:drawing>
          <wp:inline distT="0" distB="0" distL="0" distR="0" wp14:anchorId="50486A2D" wp14:editId="47D1D2C8">
            <wp:extent cx="5026374" cy="3424238"/>
            <wp:effectExtent l="0" t="0" r="3175" b="508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056" cy="3426065"/>
                    </a:xfrm>
                    <a:prstGeom prst="rect">
                      <a:avLst/>
                    </a:prstGeom>
                    <a:noFill/>
                    <a:ln>
                      <a:noFill/>
                    </a:ln>
                  </pic:spPr>
                </pic:pic>
              </a:graphicData>
            </a:graphic>
          </wp:inline>
        </w:drawing>
      </w:r>
    </w:p>
    <w:p w14:paraId="33D4EE1D" w14:textId="77777777" w:rsidR="00F62C1C" w:rsidRDefault="00F62C1C" w:rsidP="00106F80">
      <w:pPr>
        <w:jc w:val="center"/>
      </w:pPr>
    </w:p>
    <w:p w14:paraId="3E0FD703" w14:textId="77777777" w:rsidR="00F62C1C" w:rsidRPr="00F62C1C" w:rsidRDefault="00F62C1C" w:rsidP="00F62C1C">
      <w:pPr>
        <w:rPr>
          <w:rFonts w:ascii="Calibri" w:hAnsi="Calibri"/>
          <w:i/>
          <w:sz w:val="20"/>
          <w:szCs w:val="20"/>
        </w:rPr>
      </w:pPr>
      <w:r w:rsidRPr="00F62C1C">
        <w:rPr>
          <w:rFonts w:ascii="Calibri" w:hAnsi="Calibri"/>
          <w:i/>
          <w:sz w:val="20"/>
          <w:szCs w:val="20"/>
        </w:rPr>
        <w:t>Graphic generated by Martin Davis, RGS-IBG.</w:t>
      </w:r>
    </w:p>
    <w:p w14:paraId="00B855CD" w14:textId="77777777" w:rsidR="00F62C1C" w:rsidRPr="00F62C1C" w:rsidRDefault="00F62C1C" w:rsidP="00F62C1C">
      <w:pPr>
        <w:rPr>
          <w:rFonts w:ascii="Calibri" w:hAnsi="Calibri"/>
          <w:i/>
          <w:sz w:val="20"/>
          <w:szCs w:val="20"/>
        </w:rPr>
      </w:pPr>
    </w:p>
    <w:p w14:paraId="65B138B3" w14:textId="77777777" w:rsidR="00F62C1C" w:rsidRDefault="00F62C1C" w:rsidP="00F62C1C">
      <w:pPr>
        <w:sectPr w:rsidR="00F62C1C" w:rsidSect="0045288F">
          <w:footerReference w:type="default" r:id="rId14"/>
          <w:pgSz w:w="11906" w:h="16838"/>
          <w:pgMar w:top="1440" w:right="1440" w:bottom="1440" w:left="1440" w:header="709" w:footer="709" w:gutter="0"/>
          <w:pgNumType w:start="1"/>
          <w:cols w:space="708"/>
          <w:docGrid w:linePitch="360"/>
        </w:sectPr>
      </w:pPr>
    </w:p>
    <w:p w14:paraId="472DF7BE" w14:textId="66E3934D" w:rsidR="00106F80" w:rsidRPr="0073582F" w:rsidRDefault="00106F80" w:rsidP="00FF773A">
      <w:pPr>
        <w:jc w:val="center"/>
      </w:pPr>
    </w:p>
    <w:sectPr w:rsidR="00106F80" w:rsidRPr="0073582F" w:rsidSect="00564706">
      <w:pgSz w:w="16838" w:h="11906" w:orient="landscape"/>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4A526" w14:textId="77777777" w:rsidR="00964630" w:rsidRDefault="00964630" w:rsidP="000F4E7E">
      <w:r>
        <w:separator/>
      </w:r>
    </w:p>
  </w:endnote>
  <w:endnote w:type="continuationSeparator" w:id="0">
    <w:p w14:paraId="3C4214DC" w14:textId="77777777" w:rsidR="00964630" w:rsidRDefault="00964630" w:rsidP="000F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venir LT Std 55 Roman">
    <w:altName w:val="Malgun Gothic"/>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A3685" w14:textId="1303F77A" w:rsidR="00C15089" w:rsidRDefault="00C15089">
    <w:pPr>
      <w:pStyle w:val="Footer"/>
      <w:jc w:val="center"/>
    </w:pPr>
  </w:p>
  <w:p w14:paraId="01EDF151" w14:textId="0FE16622" w:rsidR="00C15089" w:rsidRDefault="00C15089" w:rsidP="00CC2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3880768"/>
      <w:docPartObj>
        <w:docPartGallery w:val="Page Numbers (Bottom of Page)"/>
        <w:docPartUnique/>
      </w:docPartObj>
    </w:sdtPr>
    <w:sdtEndPr>
      <w:rPr>
        <w:noProof/>
      </w:rPr>
    </w:sdtEndPr>
    <w:sdtContent>
      <w:p w14:paraId="26F8875B" w14:textId="283B5CC9" w:rsidR="00C15089" w:rsidRDefault="00C15089">
        <w:pPr>
          <w:pStyle w:val="Footer"/>
          <w:jc w:val="center"/>
        </w:pPr>
        <w:r>
          <w:fldChar w:fldCharType="begin"/>
        </w:r>
        <w:r>
          <w:instrText xml:space="preserve"> PAGE   \* MERGEFORMAT </w:instrText>
        </w:r>
        <w:r>
          <w:fldChar w:fldCharType="separate"/>
        </w:r>
        <w:r w:rsidR="00F62C1C">
          <w:rPr>
            <w:noProof/>
          </w:rPr>
          <w:t>1</w:t>
        </w:r>
        <w:r>
          <w:rPr>
            <w:noProof/>
          </w:rPr>
          <w:fldChar w:fldCharType="end"/>
        </w:r>
      </w:p>
    </w:sdtContent>
  </w:sdt>
  <w:p w14:paraId="12612B48" w14:textId="4C2AF4A7" w:rsidR="00C15089" w:rsidRDefault="00C15089" w:rsidP="006D15D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47603" w14:textId="77777777" w:rsidR="00964630" w:rsidRDefault="00964630" w:rsidP="000F4E7E">
      <w:r>
        <w:separator/>
      </w:r>
    </w:p>
  </w:footnote>
  <w:footnote w:type="continuationSeparator" w:id="0">
    <w:p w14:paraId="547D3DAC" w14:textId="77777777" w:rsidR="00964630" w:rsidRDefault="00964630" w:rsidP="000F4E7E">
      <w:r>
        <w:continuationSeparator/>
      </w:r>
    </w:p>
  </w:footnote>
  <w:footnote w:id="1">
    <w:p w14:paraId="1E99C952" w14:textId="1762D8E8" w:rsidR="00B646E2" w:rsidRPr="00026E71" w:rsidRDefault="00B646E2">
      <w:pPr>
        <w:pStyle w:val="FootnoteText"/>
        <w:rPr>
          <w:rFonts w:ascii="Calibri" w:hAnsi="Calibri"/>
          <w:sz w:val="18"/>
          <w:szCs w:val="18"/>
        </w:rPr>
      </w:pPr>
      <w:r w:rsidRPr="00026E71">
        <w:rPr>
          <w:rStyle w:val="FootnoteReference"/>
          <w:rFonts w:ascii="Calibri" w:hAnsi="Calibri"/>
          <w:sz w:val="18"/>
          <w:szCs w:val="18"/>
        </w:rPr>
        <w:footnoteRef/>
      </w:r>
      <w:r w:rsidRPr="00026E71">
        <w:rPr>
          <w:rFonts w:ascii="Calibri" w:hAnsi="Calibri"/>
          <w:sz w:val="18"/>
          <w:szCs w:val="18"/>
        </w:rPr>
        <w:t xml:space="preserve"> Throughout this report, years refer to </w:t>
      </w:r>
      <w:r w:rsidR="00FE1484" w:rsidRPr="00026E71">
        <w:rPr>
          <w:rFonts w:ascii="Calibri" w:hAnsi="Calibri"/>
          <w:sz w:val="18"/>
          <w:szCs w:val="18"/>
        </w:rPr>
        <w:t xml:space="preserve">the </w:t>
      </w:r>
      <w:r w:rsidRPr="00026E71">
        <w:rPr>
          <w:rFonts w:ascii="Calibri" w:hAnsi="Calibri"/>
          <w:sz w:val="18"/>
          <w:szCs w:val="18"/>
        </w:rPr>
        <w:t>year in which the academic year finished – that is, 2010 refers to 2009/10, for example.</w:t>
      </w:r>
      <w:r w:rsidR="00FE1484" w:rsidRPr="00026E71">
        <w:rPr>
          <w:rFonts w:ascii="Calibri" w:hAnsi="Calibri"/>
          <w:sz w:val="18"/>
          <w:szCs w:val="18"/>
        </w:rPr>
        <w:t xml:space="preserve"> In the accompanying Excel document, the year shown is the year in which students took their geography A-Level.</w:t>
      </w:r>
    </w:p>
  </w:footnote>
  <w:footnote w:id="2">
    <w:p w14:paraId="20A5F4AD" w14:textId="19095A5C" w:rsidR="00AF3811" w:rsidRPr="00026E71" w:rsidRDefault="00AF3811" w:rsidP="00AF3811">
      <w:pPr>
        <w:rPr>
          <w:rFonts w:ascii="Calibri" w:hAnsi="Calibri"/>
          <w:sz w:val="18"/>
          <w:szCs w:val="18"/>
        </w:rPr>
      </w:pPr>
      <w:r w:rsidRPr="00026E71">
        <w:rPr>
          <w:rStyle w:val="FootnoteReference"/>
          <w:rFonts w:ascii="Calibri" w:hAnsi="Calibri"/>
          <w:sz w:val="18"/>
          <w:szCs w:val="18"/>
        </w:rPr>
        <w:footnoteRef/>
      </w:r>
      <w:r w:rsidRPr="00026E71">
        <w:rPr>
          <w:rFonts w:ascii="Calibri" w:hAnsi="Calibri"/>
          <w:sz w:val="18"/>
          <w:szCs w:val="18"/>
        </w:rPr>
        <w:t xml:space="preserve"> The number of students who progressed to a geography degree in a particular year is defined as the number of students who began a degree in the relevant year. </w:t>
      </w:r>
    </w:p>
    <w:p w14:paraId="50840BCA" w14:textId="48452378" w:rsidR="00AF3811" w:rsidRPr="00026E71" w:rsidRDefault="00AF3811">
      <w:pPr>
        <w:pStyle w:val="FootnoteText"/>
        <w:rPr>
          <w:rFonts w:ascii="Calibri" w:hAnsi="Calibri"/>
          <w:sz w:val="18"/>
          <w:szCs w:val="18"/>
        </w:rPr>
      </w:pPr>
    </w:p>
  </w:footnote>
  <w:footnote w:id="3">
    <w:p w14:paraId="4CE65D2A" w14:textId="3D8E47EF" w:rsidR="00D13C4E" w:rsidRPr="00026E71" w:rsidRDefault="00D13C4E">
      <w:pPr>
        <w:pStyle w:val="FootnoteText"/>
        <w:rPr>
          <w:rFonts w:ascii="Calibri" w:hAnsi="Calibri"/>
          <w:sz w:val="18"/>
          <w:szCs w:val="18"/>
        </w:rPr>
      </w:pPr>
      <w:r w:rsidRPr="00026E71">
        <w:rPr>
          <w:rStyle w:val="FootnoteReference"/>
          <w:rFonts w:ascii="Calibri" w:hAnsi="Calibri"/>
          <w:sz w:val="18"/>
          <w:szCs w:val="18"/>
        </w:rPr>
        <w:footnoteRef/>
      </w:r>
      <w:r w:rsidRPr="00026E71">
        <w:rPr>
          <w:rFonts w:ascii="Calibri" w:hAnsi="Calibri"/>
          <w:sz w:val="18"/>
          <w:szCs w:val="18"/>
        </w:rPr>
        <w:t xml:space="preserve"> Region here refers to the Government Office Region in which a student’s school or college was located. See the methodology document for more details.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15A3"/>
    <w:multiLevelType w:val="hybridMultilevel"/>
    <w:tmpl w:val="6AF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21337"/>
    <w:multiLevelType w:val="multilevel"/>
    <w:tmpl w:val="A568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B6276"/>
    <w:multiLevelType w:val="hybridMultilevel"/>
    <w:tmpl w:val="6F72EB0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680CFD"/>
    <w:multiLevelType w:val="hybridMultilevel"/>
    <w:tmpl w:val="D02A9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D3775"/>
    <w:multiLevelType w:val="hybridMultilevel"/>
    <w:tmpl w:val="637C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B7D45"/>
    <w:multiLevelType w:val="hybridMultilevel"/>
    <w:tmpl w:val="48C2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86491"/>
    <w:multiLevelType w:val="hybridMultilevel"/>
    <w:tmpl w:val="BDDC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D3FCD"/>
    <w:multiLevelType w:val="hybridMultilevel"/>
    <w:tmpl w:val="CC08FE46"/>
    <w:lvl w:ilvl="0" w:tplc="03CE4AB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8F412B"/>
    <w:multiLevelType w:val="hybridMultilevel"/>
    <w:tmpl w:val="C054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34649"/>
    <w:multiLevelType w:val="hybridMultilevel"/>
    <w:tmpl w:val="3DA0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7E1326"/>
    <w:multiLevelType w:val="hybridMultilevel"/>
    <w:tmpl w:val="7398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D0E36"/>
    <w:multiLevelType w:val="hybridMultilevel"/>
    <w:tmpl w:val="78F02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047741"/>
    <w:multiLevelType w:val="hybridMultilevel"/>
    <w:tmpl w:val="9B34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D55D9"/>
    <w:multiLevelType w:val="hybridMultilevel"/>
    <w:tmpl w:val="78E20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642BD"/>
    <w:multiLevelType w:val="hybridMultilevel"/>
    <w:tmpl w:val="18B6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22692"/>
    <w:multiLevelType w:val="hybridMultilevel"/>
    <w:tmpl w:val="E8A0C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23FA6"/>
    <w:multiLevelType w:val="hybridMultilevel"/>
    <w:tmpl w:val="2D1E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842D1"/>
    <w:multiLevelType w:val="hybridMultilevel"/>
    <w:tmpl w:val="0E62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E12E4"/>
    <w:multiLevelType w:val="hybridMultilevel"/>
    <w:tmpl w:val="EB14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87DF3"/>
    <w:multiLevelType w:val="hybridMultilevel"/>
    <w:tmpl w:val="6D72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2C2981"/>
    <w:multiLevelType w:val="hybridMultilevel"/>
    <w:tmpl w:val="EB48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6074B"/>
    <w:multiLevelType w:val="hybridMultilevel"/>
    <w:tmpl w:val="32A40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AE0B70"/>
    <w:multiLevelType w:val="hybridMultilevel"/>
    <w:tmpl w:val="174AF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2E2CA6"/>
    <w:multiLevelType w:val="hybridMultilevel"/>
    <w:tmpl w:val="2B98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D72F4B"/>
    <w:multiLevelType w:val="hybridMultilevel"/>
    <w:tmpl w:val="168A2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91465F"/>
    <w:multiLevelType w:val="hybridMultilevel"/>
    <w:tmpl w:val="B0484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4"/>
  </w:num>
  <w:num w:numId="2">
    <w:abstractNumId w:val="18"/>
  </w:num>
  <w:num w:numId="3">
    <w:abstractNumId w:val="4"/>
  </w:num>
  <w:num w:numId="4">
    <w:abstractNumId w:val="13"/>
  </w:num>
  <w:num w:numId="5">
    <w:abstractNumId w:val="23"/>
  </w:num>
  <w:num w:numId="6">
    <w:abstractNumId w:val="22"/>
  </w:num>
  <w:num w:numId="7">
    <w:abstractNumId w:val="10"/>
  </w:num>
  <w:num w:numId="8">
    <w:abstractNumId w:val="21"/>
  </w:num>
  <w:num w:numId="9">
    <w:abstractNumId w:val="20"/>
  </w:num>
  <w:num w:numId="10">
    <w:abstractNumId w:val="12"/>
  </w:num>
  <w:num w:numId="11">
    <w:abstractNumId w:val="11"/>
  </w:num>
  <w:num w:numId="12">
    <w:abstractNumId w:val="17"/>
  </w:num>
  <w:num w:numId="13">
    <w:abstractNumId w:val="0"/>
  </w:num>
  <w:num w:numId="14">
    <w:abstractNumId w:val="8"/>
  </w:num>
  <w:num w:numId="15">
    <w:abstractNumId w:val="24"/>
  </w:num>
  <w:num w:numId="16">
    <w:abstractNumId w:val="15"/>
  </w:num>
  <w:num w:numId="17">
    <w:abstractNumId w:val="3"/>
  </w:num>
  <w:num w:numId="18">
    <w:abstractNumId w:val="6"/>
  </w:num>
  <w:num w:numId="19">
    <w:abstractNumId w:val="5"/>
  </w:num>
  <w:num w:numId="20">
    <w:abstractNumId w:val="14"/>
  </w:num>
  <w:num w:numId="21">
    <w:abstractNumId w:val="19"/>
  </w:num>
  <w:num w:numId="22">
    <w:abstractNumId w:val="1"/>
  </w:num>
  <w:num w:numId="23">
    <w:abstractNumId w:val="16"/>
  </w:num>
  <w:num w:numId="24">
    <w:abstractNumId w:val="9"/>
  </w:num>
  <w:num w:numId="25">
    <w:abstractNumId w:val="25"/>
  </w:num>
  <w:num w:numId="26">
    <w:abstractNumId w:val="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13"/>
    <w:rsid w:val="00000C5E"/>
    <w:rsid w:val="00012858"/>
    <w:rsid w:val="00013D8B"/>
    <w:rsid w:val="00014894"/>
    <w:rsid w:val="000148F3"/>
    <w:rsid w:val="00026E71"/>
    <w:rsid w:val="000418B2"/>
    <w:rsid w:val="00072460"/>
    <w:rsid w:val="00075BFB"/>
    <w:rsid w:val="00077995"/>
    <w:rsid w:val="00083A3B"/>
    <w:rsid w:val="0009234F"/>
    <w:rsid w:val="000A13D9"/>
    <w:rsid w:val="000A1712"/>
    <w:rsid w:val="000A4D2D"/>
    <w:rsid w:val="000B14CB"/>
    <w:rsid w:val="000B4279"/>
    <w:rsid w:val="000B69BD"/>
    <w:rsid w:val="000B6E49"/>
    <w:rsid w:val="000C5997"/>
    <w:rsid w:val="000D2107"/>
    <w:rsid w:val="000F4E7E"/>
    <w:rsid w:val="00106F80"/>
    <w:rsid w:val="0012135E"/>
    <w:rsid w:val="00151F07"/>
    <w:rsid w:val="001534DD"/>
    <w:rsid w:val="00167ADC"/>
    <w:rsid w:val="00170639"/>
    <w:rsid w:val="00187127"/>
    <w:rsid w:val="001A160D"/>
    <w:rsid w:val="001A569D"/>
    <w:rsid w:val="001A6913"/>
    <w:rsid w:val="001B5FF3"/>
    <w:rsid w:val="001C657D"/>
    <w:rsid w:val="001D61D8"/>
    <w:rsid w:val="001E36C3"/>
    <w:rsid w:val="001F03AF"/>
    <w:rsid w:val="001F1D66"/>
    <w:rsid w:val="001F6950"/>
    <w:rsid w:val="00201A9C"/>
    <w:rsid w:val="0020389E"/>
    <w:rsid w:val="00214723"/>
    <w:rsid w:val="00215B77"/>
    <w:rsid w:val="00216499"/>
    <w:rsid w:val="00221BEF"/>
    <w:rsid w:val="002236E5"/>
    <w:rsid w:val="002238D8"/>
    <w:rsid w:val="00225A57"/>
    <w:rsid w:val="002319B3"/>
    <w:rsid w:val="00233AE8"/>
    <w:rsid w:val="00255EFA"/>
    <w:rsid w:val="00265F50"/>
    <w:rsid w:val="002A5FCC"/>
    <w:rsid w:val="002A7375"/>
    <w:rsid w:val="002C09F2"/>
    <w:rsid w:val="002C0BA3"/>
    <w:rsid w:val="002C0FA4"/>
    <w:rsid w:val="002C182B"/>
    <w:rsid w:val="002C4366"/>
    <w:rsid w:val="002C77B0"/>
    <w:rsid w:val="002E063A"/>
    <w:rsid w:val="002E60FC"/>
    <w:rsid w:val="002F04E4"/>
    <w:rsid w:val="002F7867"/>
    <w:rsid w:val="0032419B"/>
    <w:rsid w:val="003323B1"/>
    <w:rsid w:val="00344495"/>
    <w:rsid w:val="00344980"/>
    <w:rsid w:val="00350AF9"/>
    <w:rsid w:val="00360E04"/>
    <w:rsid w:val="00362625"/>
    <w:rsid w:val="0037044D"/>
    <w:rsid w:val="003812A1"/>
    <w:rsid w:val="0038626D"/>
    <w:rsid w:val="00391AFE"/>
    <w:rsid w:val="00393FE8"/>
    <w:rsid w:val="00396D06"/>
    <w:rsid w:val="003A01DF"/>
    <w:rsid w:val="003A144A"/>
    <w:rsid w:val="003A3F37"/>
    <w:rsid w:val="003A441D"/>
    <w:rsid w:val="003B6B7F"/>
    <w:rsid w:val="003B78CE"/>
    <w:rsid w:val="003D3477"/>
    <w:rsid w:val="003D3813"/>
    <w:rsid w:val="003D7154"/>
    <w:rsid w:val="003D7976"/>
    <w:rsid w:val="003F0436"/>
    <w:rsid w:val="003F5BBB"/>
    <w:rsid w:val="003F7A98"/>
    <w:rsid w:val="00402C31"/>
    <w:rsid w:val="00402F4C"/>
    <w:rsid w:val="00413DC9"/>
    <w:rsid w:val="004331C8"/>
    <w:rsid w:val="00441094"/>
    <w:rsid w:val="0045288F"/>
    <w:rsid w:val="00476947"/>
    <w:rsid w:val="00480DEB"/>
    <w:rsid w:val="00481529"/>
    <w:rsid w:val="004857ED"/>
    <w:rsid w:val="004A117F"/>
    <w:rsid w:val="004A7A4E"/>
    <w:rsid w:val="004B3C62"/>
    <w:rsid w:val="004D7DBC"/>
    <w:rsid w:val="00501FCC"/>
    <w:rsid w:val="00525CA5"/>
    <w:rsid w:val="005261CC"/>
    <w:rsid w:val="00531955"/>
    <w:rsid w:val="00546AAA"/>
    <w:rsid w:val="005529CC"/>
    <w:rsid w:val="0056173B"/>
    <w:rsid w:val="00564706"/>
    <w:rsid w:val="005A4EE8"/>
    <w:rsid w:val="005A6FB3"/>
    <w:rsid w:val="005C118C"/>
    <w:rsid w:val="005C3022"/>
    <w:rsid w:val="005D0B21"/>
    <w:rsid w:val="005E3034"/>
    <w:rsid w:val="005E6575"/>
    <w:rsid w:val="005E6610"/>
    <w:rsid w:val="00600741"/>
    <w:rsid w:val="0062037C"/>
    <w:rsid w:val="006224FD"/>
    <w:rsid w:val="00624088"/>
    <w:rsid w:val="006270BA"/>
    <w:rsid w:val="0063072D"/>
    <w:rsid w:val="00630CC1"/>
    <w:rsid w:val="006375A5"/>
    <w:rsid w:val="00645FCD"/>
    <w:rsid w:val="00660875"/>
    <w:rsid w:val="00673C65"/>
    <w:rsid w:val="006759FE"/>
    <w:rsid w:val="00682032"/>
    <w:rsid w:val="00683780"/>
    <w:rsid w:val="006903D9"/>
    <w:rsid w:val="00691617"/>
    <w:rsid w:val="00693F8C"/>
    <w:rsid w:val="006C57C2"/>
    <w:rsid w:val="006D15DA"/>
    <w:rsid w:val="006D51D8"/>
    <w:rsid w:val="006E461B"/>
    <w:rsid w:val="006F7176"/>
    <w:rsid w:val="007150BE"/>
    <w:rsid w:val="0072795E"/>
    <w:rsid w:val="0073582F"/>
    <w:rsid w:val="00735D8C"/>
    <w:rsid w:val="00736465"/>
    <w:rsid w:val="00736FB8"/>
    <w:rsid w:val="0073742B"/>
    <w:rsid w:val="00774ED7"/>
    <w:rsid w:val="00780296"/>
    <w:rsid w:val="007A6A2A"/>
    <w:rsid w:val="007B40CD"/>
    <w:rsid w:val="007D378A"/>
    <w:rsid w:val="007D543C"/>
    <w:rsid w:val="007E357A"/>
    <w:rsid w:val="007F7261"/>
    <w:rsid w:val="00803A18"/>
    <w:rsid w:val="00823D31"/>
    <w:rsid w:val="00830846"/>
    <w:rsid w:val="008446E5"/>
    <w:rsid w:val="0084527A"/>
    <w:rsid w:val="0085774E"/>
    <w:rsid w:val="00870D79"/>
    <w:rsid w:val="008725E3"/>
    <w:rsid w:val="00892E6F"/>
    <w:rsid w:val="008A1B00"/>
    <w:rsid w:val="008B0C8D"/>
    <w:rsid w:val="008B2A19"/>
    <w:rsid w:val="008C131B"/>
    <w:rsid w:val="008C6F41"/>
    <w:rsid w:val="008D066F"/>
    <w:rsid w:val="008D2BB4"/>
    <w:rsid w:val="008E084B"/>
    <w:rsid w:val="008E7650"/>
    <w:rsid w:val="008F4199"/>
    <w:rsid w:val="009135D2"/>
    <w:rsid w:val="00937BEC"/>
    <w:rsid w:val="00964630"/>
    <w:rsid w:val="009833BE"/>
    <w:rsid w:val="00996560"/>
    <w:rsid w:val="009B2399"/>
    <w:rsid w:val="009B6F06"/>
    <w:rsid w:val="009C289F"/>
    <w:rsid w:val="009D443A"/>
    <w:rsid w:val="009F6389"/>
    <w:rsid w:val="009F6E00"/>
    <w:rsid w:val="00A04D9B"/>
    <w:rsid w:val="00A1207D"/>
    <w:rsid w:val="00A20DEF"/>
    <w:rsid w:val="00A2238F"/>
    <w:rsid w:val="00A35D04"/>
    <w:rsid w:val="00A4160C"/>
    <w:rsid w:val="00A67110"/>
    <w:rsid w:val="00A91EFF"/>
    <w:rsid w:val="00AA037B"/>
    <w:rsid w:val="00AA121B"/>
    <w:rsid w:val="00AA4FDA"/>
    <w:rsid w:val="00AB0BE3"/>
    <w:rsid w:val="00AB40F4"/>
    <w:rsid w:val="00AB7F69"/>
    <w:rsid w:val="00AC4DE9"/>
    <w:rsid w:val="00AD060E"/>
    <w:rsid w:val="00AF161A"/>
    <w:rsid w:val="00AF3811"/>
    <w:rsid w:val="00AF44DB"/>
    <w:rsid w:val="00AF5EAA"/>
    <w:rsid w:val="00B0193E"/>
    <w:rsid w:val="00B01A55"/>
    <w:rsid w:val="00B02933"/>
    <w:rsid w:val="00B04BB5"/>
    <w:rsid w:val="00B1374D"/>
    <w:rsid w:val="00B140A7"/>
    <w:rsid w:val="00B165AD"/>
    <w:rsid w:val="00B16CAE"/>
    <w:rsid w:val="00B24A13"/>
    <w:rsid w:val="00B465DF"/>
    <w:rsid w:val="00B4688C"/>
    <w:rsid w:val="00B52747"/>
    <w:rsid w:val="00B52C22"/>
    <w:rsid w:val="00B60343"/>
    <w:rsid w:val="00B62C77"/>
    <w:rsid w:val="00B646E2"/>
    <w:rsid w:val="00B707EB"/>
    <w:rsid w:val="00B76BE4"/>
    <w:rsid w:val="00B818DE"/>
    <w:rsid w:val="00B86037"/>
    <w:rsid w:val="00B87CBF"/>
    <w:rsid w:val="00B9699E"/>
    <w:rsid w:val="00B976DF"/>
    <w:rsid w:val="00BA3FB7"/>
    <w:rsid w:val="00BC2A94"/>
    <w:rsid w:val="00BD5951"/>
    <w:rsid w:val="00BE646E"/>
    <w:rsid w:val="00BF469D"/>
    <w:rsid w:val="00C02DA7"/>
    <w:rsid w:val="00C15089"/>
    <w:rsid w:val="00C306A5"/>
    <w:rsid w:val="00C31937"/>
    <w:rsid w:val="00C338B5"/>
    <w:rsid w:val="00C37718"/>
    <w:rsid w:val="00C47C0D"/>
    <w:rsid w:val="00C53F9F"/>
    <w:rsid w:val="00C85D4B"/>
    <w:rsid w:val="00C87E44"/>
    <w:rsid w:val="00C93B45"/>
    <w:rsid w:val="00C946BD"/>
    <w:rsid w:val="00CC2619"/>
    <w:rsid w:val="00CC770C"/>
    <w:rsid w:val="00CE4D3F"/>
    <w:rsid w:val="00CF10E1"/>
    <w:rsid w:val="00CF131E"/>
    <w:rsid w:val="00D13C4E"/>
    <w:rsid w:val="00D17BB9"/>
    <w:rsid w:val="00D40B35"/>
    <w:rsid w:val="00D40DEF"/>
    <w:rsid w:val="00D41D06"/>
    <w:rsid w:val="00D660A0"/>
    <w:rsid w:val="00D71665"/>
    <w:rsid w:val="00D71963"/>
    <w:rsid w:val="00D9701F"/>
    <w:rsid w:val="00DB7F74"/>
    <w:rsid w:val="00DC3DA9"/>
    <w:rsid w:val="00DD1E31"/>
    <w:rsid w:val="00DF5D0D"/>
    <w:rsid w:val="00E109F7"/>
    <w:rsid w:val="00E10E41"/>
    <w:rsid w:val="00E3258C"/>
    <w:rsid w:val="00E474C4"/>
    <w:rsid w:val="00E53CE5"/>
    <w:rsid w:val="00E62D3D"/>
    <w:rsid w:val="00E66653"/>
    <w:rsid w:val="00E7244D"/>
    <w:rsid w:val="00E74C09"/>
    <w:rsid w:val="00E819B4"/>
    <w:rsid w:val="00E979CC"/>
    <w:rsid w:val="00EB0F25"/>
    <w:rsid w:val="00EB40BC"/>
    <w:rsid w:val="00EB567C"/>
    <w:rsid w:val="00EB61C0"/>
    <w:rsid w:val="00EC50B1"/>
    <w:rsid w:val="00EC59B6"/>
    <w:rsid w:val="00ED26BF"/>
    <w:rsid w:val="00EE235C"/>
    <w:rsid w:val="00F041F1"/>
    <w:rsid w:val="00F041FC"/>
    <w:rsid w:val="00F05915"/>
    <w:rsid w:val="00F06FE1"/>
    <w:rsid w:val="00F13190"/>
    <w:rsid w:val="00F16492"/>
    <w:rsid w:val="00F45FBA"/>
    <w:rsid w:val="00F62C1C"/>
    <w:rsid w:val="00F650F7"/>
    <w:rsid w:val="00F824E1"/>
    <w:rsid w:val="00F85760"/>
    <w:rsid w:val="00F947C7"/>
    <w:rsid w:val="00F97B7C"/>
    <w:rsid w:val="00FB6B5C"/>
    <w:rsid w:val="00FC22B1"/>
    <w:rsid w:val="00FC6AE4"/>
    <w:rsid w:val="00FC6E7B"/>
    <w:rsid w:val="00FE118E"/>
    <w:rsid w:val="00FE1484"/>
    <w:rsid w:val="00FF7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62141"/>
  <w15:chartTrackingRefBased/>
  <w15:docId w15:val="{70E9D21D-600F-45D2-A065-D26CD47B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82F"/>
    <w:pPr>
      <w:spacing w:after="0" w:line="240" w:lineRule="auto"/>
    </w:pPr>
    <w:rPr>
      <w:rFonts w:ascii="Avenir LT Std 35 Light" w:hAnsi="Avenir LT Std 35 Light" w:cs="Calibri"/>
    </w:rPr>
  </w:style>
  <w:style w:type="paragraph" w:styleId="Heading1">
    <w:name w:val="heading 1"/>
    <w:basedOn w:val="Normal"/>
    <w:next w:val="Normal"/>
    <w:link w:val="Heading1Char"/>
    <w:uiPriority w:val="9"/>
    <w:qFormat/>
    <w:rsid w:val="00000C5E"/>
    <w:pPr>
      <w:keepNext/>
      <w:keepLines/>
      <w:spacing w:before="240"/>
      <w:outlineLvl w:val="0"/>
    </w:pPr>
    <w:rPr>
      <w:rFonts w:asciiTheme="majorHAnsi" w:eastAsiaTheme="majorEastAsia" w:hAnsiTheme="majorHAnsi" w:cstheme="majorBidi"/>
      <w:color w:val="AC005D" w:themeColor="accent1" w:themeShade="BF"/>
      <w:sz w:val="32"/>
      <w:szCs w:val="32"/>
    </w:rPr>
  </w:style>
  <w:style w:type="paragraph" w:styleId="Heading2">
    <w:name w:val="heading 2"/>
    <w:basedOn w:val="Normal"/>
    <w:next w:val="Normal"/>
    <w:link w:val="Heading2Char"/>
    <w:uiPriority w:val="9"/>
    <w:unhideWhenUsed/>
    <w:qFormat/>
    <w:rsid w:val="00000C5E"/>
    <w:pPr>
      <w:keepNext/>
      <w:keepLines/>
      <w:spacing w:before="40"/>
      <w:outlineLvl w:val="1"/>
    </w:pPr>
    <w:rPr>
      <w:rFonts w:asciiTheme="majorHAnsi" w:eastAsiaTheme="majorEastAsia" w:hAnsiTheme="majorHAnsi" w:cstheme="majorBidi"/>
      <w:color w:val="AC005D" w:themeColor="accent1" w:themeShade="BF"/>
      <w:sz w:val="26"/>
      <w:szCs w:val="26"/>
    </w:rPr>
  </w:style>
  <w:style w:type="paragraph" w:styleId="Heading3">
    <w:name w:val="heading 3"/>
    <w:basedOn w:val="Normal"/>
    <w:next w:val="Normal"/>
    <w:link w:val="Heading3Char"/>
    <w:uiPriority w:val="9"/>
    <w:unhideWhenUsed/>
    <w:qFormat/>
    <w:rsid w:val="00000C5E"/>
    <w:pPr>
      <w:keepNext/>
      <w:keepLines/>
      <w:spacing w:before="40"/>
      <w:outlineLvl w:val="2"/>
    </w:pPr>
    <w:rPr>
      <w:rFonts w:asciiTheme="majorHAnsi" w:eastAsiaTheme="majorEastAsia" w:hAnsiTheme="majorHAnsi" w:cstheme="majorBidi"/>
      <w:color w:val="72003E" w:themeColor="accent1" w:themeShade="7F"/>
      <w:sz w:val="24"/>
      <w:szCs w:val="24"/>
    </w:rPr>
  </w:style>
  <w:style w:type="paragraph" w:styleId="Heading4">
    <w:name w:val="heading 4"/>
    <w:basedOn w:val="Normal"/>
    <w:next w:val="Normal"/>
    <w:link w:val="Heading4Char"/>
    <w:uiPriority w:val="9"/>
    <w:unhideWhenUsed/>
    <w:qFormat/>
    <w:rsid w:val="00000C5E"/>
    <w:pPr>
      <w:keepNext/>
      <w:keepLines/>
      <w:spacing w:before="40"/>
      <w:outlineLvl w:val="3"/>
    </w:pPr>
    <w:rPr>
      <w:rFonts w:asciiTheme="majorHAnsi" w:eastAsiaTheme="majorEastAsia" w:hAnsiTheme="majorHAnsi" w:cstheme="majorBidi"/>
      <w:i/>
      <w:iCs/>
      <w:color w:val="AC005D" w:themeColor="accent1" w:themeShade="BF"/>
    </w:rPr>
  </w:style>
  <w:style w:type="paragraph" w:styleId="Heading5">
    <w:name w:val="heading 5"/>
    <w:basedOn w:val="Normal"/>
    <w:next w:val="Normal"/>
    <w:link w:val="Heading5Char"/>
    <w:uiPriority w:val="9"/>
    <w:unhideWhenUsed/>
    <w:qFormat/>
    <w:rsid w:val="00000C5E"/>
    <w:pPr>
      <w:keepNext/>
      <w:keepLines/>
      <w:spacing w:before="40"/>
      <w:outlineLvl w:val="4"/>
    </w:pPr>
    <w:rPr>
      <w:rFonts w:asciiTheme="majorHAnsi" w:eastAsiaTheme="majorEastAsia" w:hAnsiTheme="majorHAnsi" w:cstheme="majorBidi"/>
      <w:color w:val="AC005D" w:themeColor="accent1" w:themeShade="BF"/>
    </w:rPr>
  </w:style>
  <w:style w:type="paragraph" w:styleId="Heading6">
    <w:name w:val="heading 6"/>
    <w:basedOn w:val="Normal"/>
    <w:next w:val="Normal"/>
    <w:link w:val="Heading6Char"/>
    <w:uiPriority w:val="9"/>
    <w:unhideWhenUsed/>
    <w:qFormat/>
    <w:rsid w:val="00000C5E"/>
    <w:pPr>
      <w:keepNext/>
      <w:keepLines/>
      <w:spacing w:before="40"/>
      <w:outlineLvl w:val="5"/>
    </w:pPr>
    <w:rPr>
      <w:rFonts w:asciiTheme="majorHAnsi" w:eastAsiaTheme="majorEastAsia" w:hAnsiTheme="majorHAnsi" w:cstheme="majorBidi"/>
      <w:color w:val="72003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9BD"/>
    <w:pPr>
      <w:ind w:left="720"/>
      <w:contextualSpacing/>
    </w:pPr>
    <w:rPr>
      <w:rFonts w:cs="Times New Roman"/>
    </w:rPr>
  </w:style>
  <w:style w:type="character" w:customStyle="1" w:styleId="Heading1Char">
    <w:name w:val="Heading 1 Char"/>
    <w:basedOn w:val="DefaultParagraphFont"/>
    <w:link w:val="Heading1"/>
    <w:uiPriority w:val="9"/>
    <w:rsid w:val="00000C5E"/>
    <w:rPr>
      <w:rFonts w:asciiTheme="majorHAnsi" w:eastAsiaTheme="majorEastAsia" w:hAnsiTheme="majorHAnsi" w:cstheme="majorBidi"/>
      <w:color w:val="AC005D" w:themeColor="accent1" w:themeShade="BF"/>
      <w:sz w:val="32"/>
      <w:szCs w:val="32"/>
    </w:rPr>
  </w:style>
  <w:style w:type="character" w:customStyle="1" w:styleId="Heading2Char">
    <w:name w:val="Heading 2 Char"/>
    <w:basedOn w:val="DefaultParagraphFont"/>
    <w:link w:val="Heading2"/>
    <w:uiPriority w:val="9"/>
    <w:rsid w:val="00000C5E"/>
    <w:rPr>
      <w:rFonts w:asciiTheme="majorHAnsi" w:eastAsiaTheme="majorEastAsia" w:hAnsiTheme="majorHAnsi" w:cstheme="majorBidi"/>
      <w:color w:val="AC005D" w:themeColor="accent1" w:themeShade="BF"/>
      <w:sz w:val="26"/>
      <w:szCs w:val="26"/>
    </w:rPr>
  </w:style>
  <w:style w:type="character" w:customStyle="1" w:styleId="Heading3Char">
    <w:name w:val="Heading 3 Char"/>
    <w:basedOn w:val="DefaultParagraphFont"/>
    <w:link w:val="Heading3"/>
    <w:uiPriority w:val="9"/>
    <w:rsid w:val="00000C5E"/>
    <w:rPr>
      <w:rFonts w:asciiTheme="majorHAnsi" w:eastAsiaTheme="majorEastAsia" w:hAnsiTheme="majorHAnsi" w:cstheme="majorBidi"/>
      <w:color w:val="72003E" w:themeColor="accent1" w:themeShade="7F"/>
      <w:sz w:val="24"/>
      <w:szCs w:val="24"/>
    </w:rPr>
  </w:style>
  <w:style w:type="character" w:customStyle="1" w:styleId="Heading4Char">
    <w:name w:val="Heading 4 Char"/>
    <w:basedOn w:val="DefaultParagraphFont"/>
    <w:link w:val="Heading4"/>
    <w:uiPriority w:val="9"/>
    <w:rsid w:val="00000C5E"/>
    <w:rPr>
      <w:rFonts w:asciiTheme="majorHAnsi" w:eastAsiaTheme="majorEastAsia" w:hAnsiTheme="majorHAnsi" w:cstheme="majorBidi"/>
      <w:i/>
      <w:iCs/>
      <w:color w:val="AC005D" w:themeColor="accent1" w:themeShade="BF"/>
    </w:rPr>
  </w:style>
  <w:style w:type="character" w:customStyle="1" w:styleId="Heading5Char">
    <w:name w:val="Heading 5 Char"/>
    <w:basedOn w:val="DefaultParagraphFont"/>
    <w:link w:val="Heading5"/>
    <w:uiPriority w:val="9"/>
    <w:rsid w:val="00000C5E"/>
    <w:rPr>
      <w:rFonts w:asciiTheme="majorHAnsi" w:eastAsiaTheme="majorEastAsia" w:hAnsiTheme="majorHAnsi" w:cstheme="majorBidi"/>
      <w:color w:val="AC005D" w:themeColor="accent1" w:themeShade="BF"/>
    </w:rPr>
  </w:style>
  <w:style w:type="character" w:customStyle="1" w:styleId="Heading6Char">
    <w:name w:val="Heading 6 Char"/>
    <w:basedOn w:val="DefaultParagraphFont"/>
    <w:link w:val="Heading6"/>
    <w:uiPriority w:val="9"/>
    <w:rsid w:val="00000C5E"/>
    <w:rPr>
      <w:rFonts w:asciiTheme="majorHAnsi" w:eastAsiaTheme="majorEastAsia" w:hAnsiTheme="majorHAnsi" w:cstheme="majorBidi"/>
      <w:color w:val="72003E" w:themeColor="accent1" w:themeShade="7F"/>
    </w:rPr>
  </w:style>
  <w:style w:type="character" w:styleId="Hyperlink">
    <w:name w:val="Hyperlink"/>
    <w:basedOn w:val="DefaultParagraphFont"/>
    <w:uiPriority w:val="99"/>
    <w:unhideWhenUsed/>
    <w:rsid w:val="008725E3"/>
    <w:rPr>
      <w:color w:val="E6007E" w:themeColor="hyperlink"/>
      <w:u w:val="single"/>
    </w:rPr>
  </w:style>
  <w:style w:type="character" w:styleId="CommentReference">
    <w:name w:val="annotation reference"/>
    <w:basedOn w:val="DefaultParagraphFont"/>
    <w:uiPriority w:val="99"/>
    <w:semiHidden/>
    <w:unhideWhenUsed/>
    <w:rsid w:val="00201A9C"/>
    <w:rPr>
      <w:sz w:val="16"/>
      <w:szCs w:val="16"/>
    </w:rPr>
  </w:style>
  <w:style w:type="paragraph" w:styleId="CommentText">
    <w:name w:val="annotation text"/>
    <w:basedOn w:val="Normal"/>
    <w:link w:val="CommentTextChar"/>
    <w:uiPriority w:val="99"/>
    <w:semiHidden/>
    <w:unhideWhenUsed/>
    <w:rsid w:val="00201A9C"/>
    <w:rPr>
      <w:sz w:val="20"/>
      <w:szCs w:val="20"/>
    </w:rPr>
  </w:style>
  <w:style w:type="character" w:customStyle="1" w:styleId="CommentTextChar">
    <w:name w:val="Comment Text Char"/>
    <w:basedOn w:val="DefaultParagraphFont"/>
    <w:link w:val="CommentText"/>
    <w:uiPriority w:val="99"/>
    <w:semiHidden/>
    <w:rsid w:val="00201A9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01A9C"/>
    <w:rPr>
      <w:b/>
      <w:bCs/>
    </w:rPr>
  </w:style>
  <w:style w:type="character" w:customStyle="1" w:styleId="CommentSubjectChar">
    <w:name w:val="Comment Subject Char"/>
    <w:basedOn w:val="CommentTextChar"/>
    <w:link w:val="CommentSubject"/>
    <w:uiPriority w:val="99"/>
    <w:semiHidden/>
    <w:rsid w:val="00201A9C"/>
    <w:rPr>
      <w:rFonts w:ascii="Calibri" w:hAnsi="Calibri" w:cs="Calibri"/>
      <w:b/>
      <w:bCs/>
      <w:sz w:val="20"/>
      <w:szCs w:val="20"/>
    </w:rPr>
  </w:style>
  <w:style w:type="paragraph" w:styleId="BalloonText">
    <w:name w:val="Balloon Text"/>
    <w:basedOn w:val="Normal"/>
    <w:link w:val="BalloonTextChar"/>
    <w:uiPriority w:val="99"/>
    <w:semiHidden/>
    <w:unhideWhenUsed/>
    <w:rsid w:val="00201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A9C"/>
    <w:rPr>
      <w:rFonts w:ascii="Segoe UI" w:hAnsi="Segoe UI" w:cs="Segoe UI"/>
      <w:sz w:val="18"/>
      <w:szCs w:val="18"/>
    </w:rPr>
  </w:style>
  <w:style w:type="character" w:styleId="FollowedHyperlink">
    <w:name w:val="FollowedHyperlink"/>
    <w:basedOn w:val="DefaultParagraphFont"/>
    <w:uiPriority w:val="99"/>
    <w:semiHidden/>
    <w:unhideWhenUsed/>
    <w:rsid w:val="009833BE"/>
    <w:rPr>
      <w:color w:val="AC005E" w:themeColor="followedHyperlink"/>
      <w:u w:val="single"/>
    </w:rPr>
  </w:style>
  <w:style w:type="table" w:styleId="TableGrid">
    <w:name w:val="Table Grid"/>
    <w:basedOn w:val="TableNormal"/>
    <w:uiPriority w:val="39"/>
    <w:rsid w:val="000F4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F4E7E"/>
    <w:rPr>
      <w:sz w:val="20"/>
      <w:szCs w:val="20"/>
    </w:rPr>
  </w:style>
  <w:style w:type="character" w:customStyle="1" w:styleId="FootnoteTextChar">
    <w:name w:val="Footnote Text Char"/>
    <w:basedOn w:val="DefaultParagraphFont"/>
    <w:link w:val="FootnoteText"/>
    <w:uiPriority w:val="99"/>
    <w:rsid w:val="000F4E7E"/>
    <w:rPr>
      <w:rFonts w:ascii="Calibri" w:hAnsi="Calibri" w:cs="Calibri"/>
      <w:sz w:val="20"/>
      <w:szCs w:val="20"/>
    </w:rPr>
  </w:style>
  <w:style w:type="character" w:styleId="FootnoteReference">
    <w:name w:val="footnote reference"/>
    <w:basedOn w:val="DefaultParagraphFont"/>
    <w:uiPriority w:val="99"/>
    <w:semiHidden/>
    <w:unhideWhenUsed/>
    <w:rsid w:val="000F4E7E"/>
    <w:rPr>
      <w:vertAlign w:val="superscript"/>
    </w:rPr>
  </w:style>
  <w:style w:type="paragraph" w:styleId="Header">
    <w:name w:val="header"/>
    <w:basedOn w:val="Normal"/>
    <w:link w:val="HeaderChar"/>
    <w:uiPriority w:val="99"/>
    <w:unhideWhenUsed/>
    <w:rsid w:val="00F85760"/>
    <w:pPr>
      <w:tabs>
        <w:tab w:val="center" w:pos="4513"/>
        <w:tab w:val="right" w:pos="9026"/>
      </w:tabs>
    </w:pPr>
  </w:style>
  <w:style w:type="character" w:customStyle="1" w:styleId="HeaderChar">
    <w:name w:val="Header Char"/>
    <w:basedOn w:val="DefaultParagraphFont"/>
    <w:link w:val="Header"/>
    <w:uiPriority w:val="99"/>
    <w:rsid w:val="00F85760"/>
    <w:rPr>
      <w:rFonts w:ascii="Calibri" w:hAnsi="Calibri" w:cs="Calibri"/>
    </w:rPr>
  </w:style>
  <w:style w:type="paragraph" w:styleId="Footer">
    <w:name w:val="footer"/>
    <w:basedOn w:val="Normal"/>
    <w:link w:val="FooterChar"/>
    <w:uiPriority w:val="99"/>
    <w:unhideWhenUsed/>
    <w:rsid w:val="00F85760"/>
    <w:pPr>
      <w:tabs>
        <w:tab w:val="center" w:pos="4513"/>
        <w:tab w:val="right" w:pos="9026"/>
      </w:tabs>
    </w:pPr>
  </w:style>
  <w:style w:type="character" w:customStyle="1" w:styleId="FooterChar">
    <w:name w:val="Footer Char"/>
    <w:basedOn w:val="DefaultParagraphFont"/>
    <w:link w:val="Footer"/>
    <w:uiPriority w:val="99"/>
    <w:rsid w:val="00F85760"/>
    <w:rPr>
      <w:rFonts w:ascii="Calibri" w:hAnsi="Calibri" w:cs="Calibri"/>
    </w:rPr>
  </w:style>
  <w:style w:type="paragraph" w:styleId="Revision">
    <w:name w:val="Revision"/>
    <w:hidden/>
    <w:uiPriority w:val="99"/>
    <w:semiHidden/>
    <w:rsid w:val="00072460"/>
    <w:pPr>
      <w:spacing w:after="0" w:line="240" w:lineRule="auto"/>
    </w:pPr>
    <w:rPr>
      <w:rFonts w:ascii="Calibri" w:hAnsi="Calibri" w:cs="Calibri"/>
    </w:rPr>
  </w:style>
  <w:style w:type="paragraph" w:styleId="TOCHeading">
    <w:name w:val="TOC Heading"/>
    <w:basedOn w:val="Heading1"/>
    <w:next w:val="Normal"/>
    <w:uiPriority w:val="39"/>
    <w:unhideWhenUsed/>
    <w:qFormat/>
    <w:rsid w:val="00774ED7"/>
    <w:pPr>
      <w:spacing w:line="259" w:lineRule="auto"/>
      <w:outlineLvl w:val="9"/>
    </w:pPr>
    <w:rPr>
      <w:lang w:val="en-US"/>
    </w:rPr>
  </w:style>
  <w:style w:type="paragraph" w:styleId="TOC1">
    <w:name w:val="toc 1"/>
    <w:basedOn w:val="Normal"/>
    <w:next w:val="Normal"/>
    <w:autoRedefine/>
    <w:uiPriority w:val="39"/>
    <w:unhideWhenUsed/>
    <w:rsid w:val="00774ED7"/>
    <w:pPr>
      <w:spacing w:after="100"/>
    </w:pPr>
  </w:style>
  <w:style w:type="paragraph" w:styleId="TOC2">
    <w:name w:val="toc 2"/>
    <w:basedOn w:val="Normal"/>
    <w:next w:val="Normal"/>
    <w:autoRedefine/>
    <w:uiPriority w:val="39"/>
    <w:unhideWhenUsed/>
    <w:rsid w:val="00774ED7"/>
    <w:pPr>
      <w:spacing w:after="100"/>
      <w:ind w:left="220"/>
    </w:pPr>
  </w:style>
  <w:style w:type="paragraph" w:styleId="TOC3">
    <w:name w:val="toc 3"/>
    <w:basedOn w:val="Normal"/>
    <w:next w:val="Normal"/>
    <w:autoRedefine/>
    <w:uiPriority w:val="39"/>
    <w:unhideWhenUsed/>
    <w:rsid w:val="00774ED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3822">
      <w:bodyDiv w:val="1"/>
      <w:marLeft w:val="0"/>
      <w:marRight w:val="0"/>
      <w:marTop w:val="0"/>
      <w:marBottom w:val="0"/>
      <w:divBdr>
        <w:top w:val="none" w:sz="0" w:space="0" w:color="auto"/>
        <w:left w:val="none" w:sz="0" w:space="0" w:color="auto"/>
        <w:bottom w:val="none" w:sz="0" w:space="0" w:color="auto"/>
        <w:right w:val="none" w:sz="0" w:space="0" w:color="auto"/>
      </w:divBdr>
    </w:div>
    <w:div w:id="192887531">
      <w:bodyDiv w:val="1"/>
      <w:marLeft w:val="0"/>
      <w:marRight w:val="0"/>
      <w:marTop w:val="0"/>
      <w:marBottom w:val="0"/>
      <w:divBdr>
        <w:top w:val="none" w:sz="0" w:space="0" w:color="auto"/>
        <w:left w:val="none" w:sz="0" w:space="0" w:color="auto"/>
        <w:bottom w:val="none" w:sz="0" w:space="0" w:color="auto"/>
        <w:right w:val="none" w:sz="0" w:space="0" w:color="auto"/>
      </w:divBdr>
    </w:div>
    <w:div w:id="216280677">
      <w:bodyDiv w:val="1"/>
      <w:marLeft w:val="0"/>
      <w:marRight w:val="0"/>
      <w:marTop w:val="0"/>
      <w:marBottom w:val="0"/>
      <w:divBdr>
        <w:top w:val="none" w:sz="0" w:space="0" w:color="auto"/>
        <w:left w:val="none" w:sz="0" w:space="0" w:color="auto"/>
        <w:bottom w:val="none" w:sz="0" w:space="0" w:color="auto"/>
        <w:right w:val="none" w:sz="0" w:space="0" w:color="auto"/>
      </w:divBdr>
    </w:div>
    <w:div w:id="329329337">
      <w:bodyDiv w:val="1"/>
      <w:marLeft w:val="0"/>
      <w:marRight w:val="0"/>
      <w:marTop w:val="0"/>
      <w:marBottom w:val="0"/>
      <w:divBdr>
        <w:top w:val="none" w:sz="0" w:space="0" w:color="auto"/>
        <w:left w:val="none" w:sz="0" w:space="0" w:color="auto"/>
        <w:bottom w:val="none" w:sz="0" w:space="0" w:color="auto"/>
        <w:right w:val="none" w:sz="0" w:space="0" w:color="auto"/>
      </w:divBdr>
    </w:div>
    <w:div w:id="507789630">
      <w:bodyDiv w:val="1"/>
      <w:marLeft w:val="0"/>
      <w:marRight w:val="0"/>
      <w:marTop w:val="0"/>
      <w:marBottom w:val="0"/>
      <w:divBdr>
        <w:top w:val="none" w:sz="0" w:space="0" w:color="auto"/>
        <w:left w:val="none" w:sz="0" w:space="0" w:color="auto"/>
        <w:bottom w:val="none" w:sz="0" w:space="0" w:color="auto"/>
        <w:right w:val="none" w:sz="0" w:space="0" w:color="auto"/>
      </w:divBdr>
    </w:div>
    <w:div w:id="509686036">
      <w:bodyDiv w:val="1"/>
      <w:marLeft w:val="0"/>
      <w:marRight w:val="0"/>
      <w:marTop w:val="0"/>
      <w:marBottom w:val="0"/>
      <w:divBdr>
        <w:top w:val="none" w:sz="0" w:space="0" w:color="auto"/>
        <w:left w:val="none" w:sz="0" w:space="0" w:color="auto"/>
        <w:bottom w:val="none" w:sz="0" w:space="0" w:color="auto"/>
        <w:right w:val="none" w:sz="0" w:space="0" w:color="auto"/>
      </w:divBdr>
    </w:div>
    <w:div w:id="598756579">
      <w:bodyDiv w:val="1"/>
      <w:marLeft w:val="0"/>
      <w:marRight w:val="0"/>
      <w:marTop w:val="0"/>
      <w:marBottom w:val="0"/>
      <w:divBdr>
        <w:top w:val="none" w:sz="0" w:space="0" w:color="auto"/>
        <w:left w:val="none" w:sz="0" w:space="0" w:color="auto"/>
        <w:bottom w:val="none" w:sz="0" w:space="0" w:color="auto"/>
        <w:right w:val="none" w:sz="0" w:space="0" w:color="auto"/>
      </w:divBdr>
    </w:div>
    <w:div w:id="600842900">
      <w:bodyDiv w:val="1"/>
      <w:marLeft w:val="0"/>
      <w:marRight w:val="0"/>
      <w:marTop w:val="0"/>
      <w:marBottom w:val="0"/>
      <w:divBdr>
        <w:top w:val="none" w:sz="0" w:space="0" w:color="auto"/>
        <w:left w:val="none" w:sz="0" w:space="0" w:color="auto"/>
        <w:bottom w:val="none" w:sz="0" w:space="0" w:color="auto"/>
        <w:right w:val="none" w:sz="0" w:space="0" w:color="auto"/>
      </w:divBdr>
    </w:div>
    <w:div w:id="733427742">
      <w:bodyDiv w:val="1"/>
      <w:marLeft w:val="0"/>
      <w:marRight w:val="0"/>
      <w:marTop w:val="0"/>
      <w:marBottom w:val="0"/>
      <w:divBdr>
        <w:top w:val="none" w:sz="0" w:space="0" w:color="auto"/>
        <w:left w:val="none" w:sz="0" w:space="0" w:color="auto"/>
        <w:bottom w:val="none" w:sz="0" w:space="0" w:color="auto"/>
        <w:right w:val="none" w:sz="0" w:space="0" w:color="auto"/>
      </w:divBdr>
    </w:div>
    <w:div w:id="760414318">
      <w:bodyDiv w:val="1"/>
      <w:marLeft w:val="0"/>
      <w:marRight w:val="0"/>
      <w:marTop w:val="0"/>
      <w:marBottom w:val="0"/>
      <w:divBdr>
        <w:top w:val="none" w:sz="0" w:space="0" w:color="auto"/>
        <w:left w:val="none" w:sz="0" w:space="0" w:color="auto"/>
        <w:bottom w:val="none" w:sz="0" w:space="0" w:color="auto"/>
        <w:right w:val="none" w:sz="0" w:space="0" w:color="auto"/>
      </w:divBdr>
    </w:div>
    <w:div w:id="788356663">
      <w:bodyDiv w:val="1"/>
      <w:marLeft w:val="0"/>
      <w:marRight w:val="0"/>
      <w:marTop w:val="0"/>
      <w:marBottom w:val="0"/>
      <w:divBdr>
        <w:top w:val="none" w:sz="0" w:space="0" w:color="auto"/>
        <w:left w:val="none" w:sz="0" w:space="0" w:color="auto"/>
        <w:bottom w:val="none" w:sz="0" w:space="0" w:color="auto"/>
        <w:right w:val="none" w:sz="0" w:space="0" w:color="auto"/>
      </w:divBdr>
    </w:div>
    <w:div w:id="808939666">
      <w:bodyDiv w:val="1"/>
      <w:marLeft w:val="0"/>
      <w:marRight w:val="0"/>
      <w:marTop w:val="0"/>
      <w:marBottom w:val="0"/>
      <w:divBdr>
        <w:top w:val="none" w:sz="0" w:space="0" w:color="auto"/>
        <w:left w:val="none" w:sz="0" w:space="0" w:color="auto"/>
        <w:bottom w:val="none" w:sz="0" w:space="0" w:color="auto"/>
        <w:right w:val="none" w:sz="0" w:space="0" w:color="auto"/>
      </w:divBdr>
    </w:div>
    <w:div w:id="960113082">
      <w:bodyDiv w:val="1"/>
      <w:marLeft w:val="0"/>
      <w:marRight w:val="0"/>
      <w:marTop w:val="0"/>
      <w:marBottom w:val="0"/>
      <w:divBdr>
        <w:top w:val="none" w:sz="0" w:space="0" w:color="auto"/>
        <w:left w:val="none" w:sz="0" w:space="0" w:color="auto"/>
        <w:bottom w:val="none" w:sz="0" w:space="0" w:color="auto"/>
        <w:right w:val="none" w:sz="0" w:space="0" w:color="auto"/>
      </w:divBdr>
    </w:div>
    <w:div w:id="987781612">
      <w:bodyDiv w:val="1"/>
      <w:marLeft w:val="0"/>
      <w:marRight w:val="0"/>
      <w:marTop w:val="0"/>
      <w:marBottom w:val="0"/>
      <w:divBdr>
        <w:top w:val="none" w:sz="0" w:space="0" w:color="auto"/>
        <w:left w:val="none" w:sz="0" w:space="0" w:color="auto"/>
        <w:bottom w:val="none" w:sz="0" w:space="0" w:color="auto"/>
        <w:right w:val="none" w:sz="0" w:space="0" w:color="auto"/>
      </w:divBdr>
    </w:div>
    <w:div w:id="1014839170">
      <w:bodyDiv w:val="1"/>
      <w:marLeft w:val="0"/>
      <w:marRight w:val="0"/>
      <w:marTop w:val="0"/>
      <w:marBottom w:val="0"/>
      <w:divBdr>
        <w:top w:val="none" w:sz="0" w:space="0" w:color="auto"/>
        <w:left w:val="none" w:sz="0" w:space="0" w:color="auto"/>
        <w:bottom w:val="none" w:sz="0" w:space="0" w:color="auto"/>
        <w:right w:val="none" w:sz="0" w:space="0" w:color="auto"/>
      </w:divBdr>
    </w:div>
    <w:div w:id="1284768511">
      <w:bodyDiv w:val="1"/>
      <w:marLeft w:val="0"/>
      <w:marRight w:val="0"/>
      <w:marTop w:val="0"/>
      <w:marBottom w:val="0"/>
      <w:divBdr>
        <w:top w:val="none" w:sz="0" w:space="0" w:color="auto"/>
        <w:left w:val="none" w:sz="0" w:space="0" w:color="auto"/>
        <w:bottom w:val="none" w:sz="0" w:space="0" w:color="auto"/>
        <w:right w:val="none" w:sz="0" w:space="0" w:color="auto"/>
      </w:divBdr>
    </w:div>
    <w:div w:id="1318457774">
      <w:bodyDiv w:val="1"/>
      <w:marLeft w:val="0"/>
      <w:marRight w:val="0"/>
      <w:marTop w:val="0"/>
      <w:marBottom w:val="0"/>
      <w:divBdr>
        <w:top w:val="none" w:sz="0" w:space="0" w:color="auto"/>
        <w:left w:val="none" w:sz="0" w:space="0" w:color="auto"/>
        <w:bottom w:val="none" w:sz="0" w:space="0" w:color="auto"/>
        <w:right w:val="none" w:sz="0" w:space="0" w:color="auto"/>
      </w:divBdr>
    </w:div>
    <w:div w:id="1322656605">
      <w:bodyDiv w:val="1"/>
      <w:marLeft w:val="0"/>
      <w:marRight w:val="0"/>
      <w:marTop w:val="0"/>
      <w:marBottom w:val="0"/>
      <w:divBdr>
        <w:top w:val="none" w:sz="0" w:space="0" w:color="auto"/>
        <w:left w:val="none" w:sz="0" w:space="0" w:color="auto"/>
        <w:bottom w:val="none" w:sz="0" w:space="0" w:color="auto"/>
        <w:right w:val="none" w:sz="0" w:space="0" w:color="auto"/>
      </w:divBdr>
    </w:div>
    <w:div w:id="1334718829">
      <w:bodyDiv w:val="1"/>
      <w:marLeft w:val="0"/>
      <w:marRight w:val="0"/>
      <w:marTop w:val="0"/>
      <w:marBottom w:val="0"/>
      <w:divBdr>
        <w:top w:val="none" w:sz="0" w:space="0" w:color="auto"/>
        <w:left w:val="none" w:sz="0" w:space="0" w:color="auto"/>
        <w:bottom w:val="none" w:sz="0" w:space="0" w:color="auto"/>
        <w:right w:val="none" w:sz="0" w:space="0" w:color="auto"/>
      </w:divBdr>
    </w:div>
    <w:div w:id="1410269818">
      <w:bodyDiv w:val="1"/>
      <w:marLeft w:val="0"/>
      <w:marRight w:val="0"/>
      <w:marTop w:val="0"/>
      <w:marBottom w:val="0"/>
      <w:divBdr>
        <w:top w:val="none" w:sz="0" w:space="0" w:color="auto"/>
        <w:left w:val="none" w:sz="0" w:space="0" w:color="auto"/>
        <w:bottom w:val="none" w:sz="0" w:space="0" w:color="auto"/>
        <w:right w:val="none" w:sz="0" w:space="0" w:color="auto"/>
      </w:divBdr>
    </w:div>
    <w:div w:id="1576014091">
      <w:bodyDiv w:val="1"/>
      <w:marLeft w:val="0"/>
      <w:marRight w:val="0"/>
      <w:marTop w:val="0"/>
      <w:marBottom w:val="0"/>
      <w:divBdr>
        <w:top w:val="none" w:sz="0" w:space="0" w:color="auto"/>
        <w:left w:val="none" w:sz="0" w:space="0" w:color="auto"/>
        <w:bottom w:val="none" w:sz="0" w:space="0" w:color="auto"/>
        <w:right w:val="none" w:sz="0" w:space="0" w:color="auto"/>
      </w:divBdr>
    </w:div>
    <w:div w:id="1616867140">
      <w:bodyDiv w:val="1"/>
      <w:marLeft w:val="0"/>
      <w:marRight w:val="0"/>
      <w:marTop w:val="0"/>
      <w:marBottom w:val="0"/>
      <w:divBdr>
        <w:top w:val="none" w:sz="0" w:space="0" w:color="auto"/>
        <w:left w:val="none" w:sz="0" w:space="0" w:color="auto"/>
        <w:bottom w:val="none" w:sz="0" w:space="0" w:color="auto"/>
        <w:right w:val="none" w:sz="0" w:space="0" w:color="auto"/>
      </w:divBdr>
    </w:div>
    <w:div w:id="1647392273">
      <w:bodyDiv w:val="1"/>
      <w:marLeft w:val="0"/>
      <w:marRight w:val="0"/>
      <w:marTop w:val="0"/>
      <w:marBottom w:val="0"/>
      <w:divBdr>
        <w:top w:val="none" w:sz="0" w:space="0" w:color="auto"/>
        <w:left w:val="none" w:sz="0" w:space="0" w:color="auto"/>
        <w:bottom w:val="none" w:sz="0" w:space="0" w:color="auto"/>
        <w:right w:val="none" w:sz="0" w:space="0" w:color="auto"/>
      </w:divBdr>
    </w:div>
    <w:div w:id="1647780209">
      <w:bodyDiv w:val="1"/>
      <w:marLeft w:val="0"/>
      <w:marRight w:val="0"/>
      <w:marTop w:val="0"/>
      <w:marBottom w:val="0"/>
      <w:divBdr>
        <w:top w:val="none" w:sz="0" w:space="0" w:color="auto"/>
        <w:left w:val="none" w:sz="0" w:space="0" w:color="auto"/>
        <w:bottom w:val="none" w:sz="0" w:space="0" w:color="auto"/>
        <w:right w:val="none" w:sz="0" w:space="0" w:color="auto"/>
      </w:divBdr>
    </w:div>
    <w:div w:id="1664816548">
      <w:bodyDiv w:val="1"/>
      <w:marLeft w:val="0"/>
      <w:marRight w:val="0"/>
      <w:marTop w:val="0"/>
      <w:marBottom w:val="0"/>
      <w:divBdr>
        <w:top w:val="none" w:sz="0" w:space="0" w:color="auto"/>
        <w:left w:val="none" w:sz="0" w:space="0" w:color="auto"/>
        <w:bottom w:val="none" w:sz="0" w:space="0" w:color="auto"/>
        <w:right w:val="none" w:sz="0" w:space="0" w:color="auto"/>
      </w:divBdr>
    </w:div>
    <w:div w:id="1676033900">
      <w:bodyDiv w:val="1"/>
      <w:marLeft w:val="0"/>
      <w:marRight w:val="0"/>
      <w:marTop w:val="0"/>
      <w:marBottom w:val="0"/>
      <w:divBdr>
        <w:top w:val="none" w:sz="0" w:space="0" w:color="auto"/>
        <w:left w:val="none" w:sz="0" w:space="0" w:color="auto"/>
        <w:bottom w:val="none" w:sz="0" w:space="0" w:color="auto"/>
        <w:right w:val="none" w:sz="0" w:space="0" w:color="auto"/>
      </w:divBdr>
    </w:div>
    <w:div w:id="1812092288">
      <w:bodyDiv w:val="1"/>
      <w:marLeft w:val="0"/>
      <w:marRight w:val="0"/>
      <w:marTop w:val="0"/>
      <w:marBottom w:val="0"/>
      <w:divBdr>
        <w:top w:val="none" w:sz="0" w:space="0" w:color="auto"/>
        <w:left w:val="none" w:sz="0" w:space="0" w:color="auto"/>
        <w:bottom w:val="none" w:sz="0" w:space="0" w:color="auto"/>
        <w:right w:val="none" w:sz="0" w:space="0" w:color="auto"/>
      </w:divBdr>
    </w:div>
    <w:div w:id="2094545877">
      <w:bodyDiv w:val="1"/>
      <w:marLeft w:val="0"/>
      <w:marRight w:val="0"/>
      <w:marTop w:val="0"/>
      <w:marBottom w:val="0"/>
      <w:divBdr>
        <w:top w:val="none" w:sz="0" w:space="0" w:color="auto"/>
        <w:left w:val="none" w:sz="0" w:space="0" w:color="auto"/>
        <w:bottom w:val="none" w:sz="0" w:space="0" w:color="auto"/>
        <w:right w:val="none" w:sz="0" w:space="0" w:color="auto"/>
      </w:divBdr>
    </w:div>
    <w:div w:id="21383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research\Natasha\NP_RGS\Geog_sheet_p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nplaister\AppData\Roaming\Microsoft\Excel\Geog_sheet_p2%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rgbClr val="535353"/>
                </a:solidFill>
                <a:latin typeface="+mn-lt"/>
                <a:ea typeface="+mn-ea"/>
                <a:cs typeface="+mn-cs"/>
              </a:defRPr>
            </a:pPr>
            <a:r>
              <a:rPr lang="en-US" sz="1200">
                <a:solidFill>
                  <a:srgbClr val="535353"/>
                </a:solidFill>
              </a:rPr>
              <a:t>Progressed to geography</a:t>
            </a:r>
            <a:r>
              <a:rPr lang="en-US" sz="1200" baseline="0">
                <a:solidFill>
                  <a:srgbClr val="535353"/>
                </a:solidFill>
              </a:rPr>
              <a:t> degree </a:t>
            </a:r>
          </a:p>
          <a:p>
            <a:pPr>
              <a:defRPr sz="1200">
                <a:solidFill>
                  <a:srgbClr val="535353"/>
                </a:solidFill>
              </a:defRPr>
            </a:pPr>
            <a:r>
              <a:rPr lang="en-US" sz="1200" baseline="0">
                <a:solidFill>
                  <a:srgbClr val="535353"/>
                </a:solidFill>
              </a:rPr>
              <a:t>within one year (%</a:t>
            </a:r>
            <a:r>
              <a:rPr lang="en-US" sz="1200">
                <a:solidFill>
                  <a:srgbClr val="535353"/>
                </a:solidFill>
              </a:rPr>
              <a:t>)</a:t>
            </a:r>
          </a:p>
        </c:rich>
      </c:tx>
      <c:overlay val="0"/>
      <c:spPr>
        <a:noFill/>
        <a:ln>
          <a:noFill/>
        </a:ln>
        <a:effectLst/>
      </c:spPr>
      <c:txPr>
        <a:bodyPr rot="0" spcFirstLastPara="1" vertOverflow="ellipsis" vert="horz" wrap="square" anchor="ctr" anchorCtr="1"/>
        <a:lstStyle/>
        <a:p>
          <a:pPr>
            <a:defRPr sz="1200" b="0" i="0" u="none" strike="noStrike" kern="1200" spc="0" baseline="0">
              <a:solidFill>
                <a:srgbClr val="535353"/>
              </a:solidFill>
              <a:latin typeface="+mn-lt"/>
              <a:ea typeface="+mn-ea"/>
              <a:cs typeface="+mn-cs"/>
            </a:defRPr>
          </a:pPr>
          <a:endParaRPr lang="en-US"/>
        </a:p>
      </c:txPr>
    </c:title>
    <c:autoTitleDeleted val="0"/>
    <c:plotArea>
      <c:layout/>
      <c:lineChart>
        <c:grouping val="standard"/>
        <c:varyColors val="0"/>
        <c:ser>
          <c:idx val="0"/>
          <c:order val="0"/>
          <c:tx>
            <c:strRef>
              <c:f>Summary!$A$8</c:f>
              <c:strCache>
                <c:ptCount val="1"/>
                <c:pt idx="0">
                  <c:v>Percent progressing to geography degree</c:v>
                </c:pt>
              </c:strCache>
            </c:strRef>
          </c:tx>
          <c:spPr>
            <a:ln w="28575" cap="rnd">
              <a:solidFill>
                <a:schemeClr val="accent2"/>
              </a:solidFill>
              <a:round/>
            </a:ln>
            <a:effectLst/>
          </c:spPr>
          <c:marker>
            <c:symbol val="none"/>
          </c:marker>
          <c:cat>
            <c:numRef>
              <c:f>Summary!$B$3:$O$3</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Summary!$B$13:$O$13</c:f>
              <c:numCache>
                <c:formatCode>0%</c:formatCode>
                <c:ptCount val="14"/>
                <c:pt idx="0">
                  <c:v>0.14651618571332026</c:v>
                </c:pt>
                <c:pt idx="1">
                  <c:v>0.16441361738268809</c:v>
                </c:pt>
                <c:pt idx="2">
                  <c:v>0.15647806922465496</c:v>
                </c:pt>
                <c:pt idx="3">
                  <c:v>0.14726090993500465</c:v>
                </c:pt>
                <c:pt idx="4">
                  <c:v>0.14315573319643576</c:v>
                </c:pt>
                <c:pt idx="5">
                  <c:v>0.15589409308968397</c:v>
                </c:pt>
                <c:pt idx="6">
                  <c:v>0.16246309273949699</c:v>
                </c:pt>
                <c:pt idx="7">
                  <c:v>0.18639889799173492</c:v>
                </c:pt>
                <c:pt idx="8">
                  <c:v>0.16468160590812003</c:v>
                </c:pt>
                <c:pt idx="9">
                  <c:v>0.17362143474503025</c:v>
                </c:pt>
                <c:pt idx="10">
                  <c:v>0.17341080929711566</c:v>
                </c:pt>
                <c:pt idx="11">
                  <c:v>0.15772566655958883</c:v>
                </c:pt>
                <c:pt idx="12">
                  <c:v>0.15381698685540951</c:v>
                </c:pt>
                <c:pt idx="13">
                  <c:v>0.14717867872334098</c:v>
                </c:pt>
              </c:numCache>
            </c:numRef>
          </c:val>
          <c:smooth val="0"/>
          <c:extLst>
            <c:ext xmlns:c16="http://schemas.microsoft.com/office/drawing/2014/chart" uri="{C3380CC4-5D6E-409C-BE32-E72D297353CC}">
              <c16:uniqueId val="{00000000-7326-4B44-BA29-124FD9B9FD21}"/>
            </c:ext>
          </c:extLst>
        </c:ser>
        <c:dLbls>
          <c:showLegendKey val="0"/>
          <c:showVal val="0"/>
          <c:showCatName val="0"/>
          <c:showSerName val="0"/>
          <c:showPercent val="0"/>
          <c:showBubbleSize val="0"/>
        </c:dLbls>
        <c:smooth val="0"/>
        <c:axId val="1027294640"/>
        <c:axId val="1027290832"/>
      </c:lineChart>
      <c:catAx>
        <c:axId val="102729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290832"/>
        <c:crosses val="autoZero"/>
        <c:auto val="1"/>
        <c:lblAlgn val="ctr"/>
        <c:lblOffset val="100"/>
        <c:noMultiLvlLbl val="0"/>
      </c:catAx>
      <c:valAx>
        <c:axId val="1027290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294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b="0"/>
              <a:t>Progressed</a:t>
            </a:r>
            <a:r>
              <a:rPr lang="en-GB" sz="1200" b="0" baseline="0"/>
              <a:t> to geography degree</a:t>
            </a:r>
            <a:r>
              <a:rPr lang="en-GB" sz="1200" b="0"/>
              <a:t> </a:t>
            </a:r>
          </a:p>
          <a:p>
            <a:pPr>
              <a:defRPr sz="1200"/>
            </a:pPr>
            <a:r>
              <a:rPr lang="en-GB" sz="1200" b="0"/>
              <a:t>(number of students)</a:t>
            </a:r>
          </a:p>
        </c:rich>
      </c:tx>
      <c:overlay val="0"/>
    </c:title>
    <c:autoTitleDeleted val="0"/>
    <c:plotArea>
      <c:layout/>
      <c:lineChart>
        <c:grouping val="standard"/>
        <c:varyColors val="0"/>
        <c:ser>
          <c:idx val="0"/>
          <c:order val="0"/>
          <c:tx>
            <c:v>L7</c:v>
          </c:tx>
          <c:marker>
            <c:symbol val="none"/>
          </c:marker>
          <c:cat>
            <c:numRef>
              <c:f>Summary!$B$3:$O$3</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Summary!$B$20:$O$20</c:f>
              <c:numCache>
                <c:formatCode>General</c:formatCode>
                <c:ptCount val="14"/>
                <c:pt idx="0">
                  <c:v>2993</c:v>
                </c:pt>
                <c:pt idx="1">
                  <c:v>2767</c:v>
                </c:pt>
                <c:pt idx="2">
                  <c:v>2610</c:v>
                </c:pt>
                <c:pt idx="3">
                  <c:v>2527</c:v>
                </c:pt>
                <c:pt idx="4">
                  <c:v>2675</c:v>
                </c:pt>
                <c:pt idx="5">
                  <c:v>2579</c:v>
                </c:pt>
                <c:pt idx="6">
                  <c:v>2693</c:v>
                </c:pt>
                <c:pt idx="7">
                  <c:v>2676</c:v>
                </c:pt>
                <c:pt idx="8">
                  <c:v>2681</c:v>
                </c:pt>
                <c:pt idx="9">
                  <c:v>2941</c:v>
                </c:pt>
                <c:pt idx="10">
                  <c:v>2975</c:v>
                </c:pt>
                <c:pt idx="11">
                  <c:v>3322</c:v>
                </c:pt>
                <c:pt idx="12">
                  <c:v>2922</c:v>
                </c:pt>
                <c:pt idx="13">
                  <c:v>2550</c:v>
                </c:pt>
              </c:numCache>
            </c:numRef>
          </c:val>
          <c:smooth val="0"/>
          <c:extLst>
            <c:ext xmlns:c16="http://schemas.microsoft.com/office/drawing/2014/chart" uri="{C3380CC4-5D6E-409C-BE32-E72D297353CC}">
              <c16:uniqueId val="{00000000-83D1-4D11-AF51-19DA1BA38AD7}"/>
            </c:ext>
          </c:extLst>
        </c:ser>
        <c:ser>
          <c:idx val="1"/>
          <c:order val="1"/>
          <c:tx>
            <c:v>F8</c:v>
          </c:tx>
          <c:marker>
            <c:symbol val="none"/>
          </c:marker>
          <c:cat>
            <c:numRef>
              <c:f>Summary!$B$3:$O$3</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Summary!$B$24:$O$24</c:f>
              <c:numCache>
                <c:formatCode>General</c:formatCode>
                <c:ptCount val="14"/>
                <c:pt idx="0">
                  <c:v>2667</c:v>
                </c:pt>
                <c:pt idx="1">
                  <c:v>2919</c:v>
                </c:pt>
                <c:pt idx="2">
                  <c:v>2889</c:v>
                </c:pt>
                <c:pt idx="3">
                  <c:v>2627</c:v>
                </c:pt>
                <c:pt idx="4">
                  <c:v>2775</c:v>
                </c:pt>
                <c:pt idx="5">
                  <c:v>2833</c:v>
                </c:pt>
                <c:pt idx="6">
                  <c:v>2970</c:v>
                </c:pt>
                <c:pt idx="7">
                  <c:v>2921</c:v>
                </c:pt>
                <c:pt idx="8">
                  <c:v>2788</c:v>
                </c:pt>
                <c:pt idx="9">
                  <c:v>2980</c:v>
                </c:pt>
                <c:pt idx="10">
                  <c:v>2835</c:v>
                </c:pt>
                <c:pt idx="11">
                  <c:v>3225</c:v>
                </c:pt>
                <c:pt idx="12">
                  <c:v>2842</c:v>
                </c:pt>
                <c:pt idx="13">
                  <c:v>2398</c:v>
                </c:pt>
              </c:numCache>
            </c:numRef>
          </c:val>
          <c:smooth val="0"/>
          <c:extLst>
            <c:ext xmlns:c16="http://schemas.microsoft.com/office/drawing/2014/chart" uri="{C3380CC4-5D6E-409C-BE32-E72D297353CC}">
              <c16:uniqueId val="{00000001-83D1-4D11-AF51-19DA1BA38AD7}"/>
            </c:ext>
          </c:extLst>
        </c:ser>
        <c:dLbls>
          <c:showLegendKey val="0"/>
          <c:showVal val="0"/>
          <c:showCatName val="0"/>
          <c:showSerName val="0"/>
          <c:showPercent val="0"/>
          <c:showBubbleSize val="0"/>
        </c:dLbls>
        <c:smooth val="0"/>
        <c:axId val="1027293552"/>
        <c:axId val="1027295184"/>
      </c:lineChart>
      <c:catAx>
        <c:axId val="102729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295184"/>
        <c:crosses val="autoZero"/>
        <c:auto val="1"/>
        <c:lblAlgn val="ctr"/>
        <c:lblOffset val="100"/>
        <c:noMultiLvlLbl val="0"/>
      </c:catAx>
      <c:valAx>
        <c:axId val="1027295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293552"/>
        <c:crosses val="autoZero"/>
        <c:crossBetween val="between"/>
      </c:valAx>
    </c:plotArea>
    <c:legend>
      <c:legendPos val="b"/>
      <c:overlay val="0"/>
    </c:legend>
    <c:plotVisOnly val="1"/>
    <c:dispBlanksAs val="gap"/>
    <c:showDLblsOverMax val="0"/>
  </c:chart>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FFT">
  <a:themeElements>
    <a:clrScheme name="FFT">
      <a:dk1>
        <a:srgbClr val="535353"/>
      </a:dk1>
      <a:lt1>
        <a:sysClr val="window" lastClr="FFFFFF"/>
      </a:lt1>
      <a:dk2>
        <a:srgbClr val="959595"/>
      </a:dk2>
      <a:lt2>
        <a:srgbClr val="F3F3F3"/>
      </a:lt2>
      <a:accent1>
        <a:srgbClr val="E6007E"/>
      </a:accent1>
      <a:accent2>
        <a:srgbClr val="2DAAE1"/>
      </a:accent2>
      <a:accent3>
        <a:srgbClr val="96C103"/>
      </a:accent3>
      <a:accent4>
        <a:srgbClr val="EFA2CC"/>
      </a:accent4>
      <a:accent5>
        <a:srgbClr val="B1DBED"/>
      </a:accent5>
      <a:accent6>
        <a:srgbClr val="D4E2AC"/>
      </a:accent6>
      <a:hlink>
        <a:srgbClr val="E6007E"/>
      </a:hlink>
      <a:folHlink>
        <a:srgbClr val="AC005E"/>
      </a:folHlink>
    </a:clrScheme>
    <a:fontScheme name="FFT">
      <a:majorFont>
        <a:latin typeface="Avenir LT Std 55 Roman"/>
        <a:ea typeface=""/>
        <a:cs typeface=""/>
      </a:majorFont>
      <a:minorFont>
        <a:latin typeface="Avenir LT Std 3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4059D-DFEA-456C-BC86-CCE93336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1809</Words>
  <Characters>10316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Nye</dc:creator>
  <cp:keywords/>
  <dc:description/>
  <cp:lastModifiedBy>Caitlin Watson</cp:lastModifiedBy>
  <cp:revision>2</cp:revision>
  <dcterms:created xsi:type="dcterms:W3CDTF">2020-11-23T16:43:00Z</dcterms:created>
  <dcterms:modified xsi:type="dcterms:W3CDTF">2020-11-23T16:43:00Z</dcterms:modified>
</cp:coreProperties>
</file>